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28458D">
      <w:pPr>
        <w:spacing w:after="0"/>
        <w:ind w:left="708" w:hanging="708"/>
        <w:jc w:val="center"/>
        <w:rPr>
          <w:rFonts w:ascii="Verdana" w:hAnsi="Verdana"/>
          <w:b/>
          <w:bCs/>
          <w:sz w:val="20"/>
          <w:szCs w:val="20"/>
        </w:rPr>
      </w:pPr>
      <w:r w:rsidRPr="00CF0120">
        <w:rPr>
          <w:rFonts w:ascii="Verdana" w:hAnsi="Verdana"/>
          <w:b/>
          <w:bCs/>
          <w:sz w:val="20"/>
          <w:szCs w:val="20"/>
        </w:rPr>
        <w:t>PARTE 1</w:t>
      </w:r>
    </w:p>
    <w:p w14:paraId="1D36E7A0" w14:textId="77777777" w:rsidR="00A64CAA" w:rsidRPr="00CF0120" w:rsidRDefault="00A64CAA" w:rsidP="00B73F85">
      <w:pPr>
        <w:spacing w:after="0"/>
        <w:jc w:val="center"/>
        <w:rPr>
          <w:rFonts w:ascii="Verdana" w:hAnsi="Verdana"/>
          <w:b/>
          <w:bCs/>
          <w:sz w:val="20"/>
          <w:szCs w:val="20"/>
        </w:rPr>
      </w:pPr>
      <w:r w:rsidRPr="00CF0120">
        <w:rPr>
          <w:rFonts w:ascii="Verdana" w:hAnsi="Verdana"/>
          <w:b/>
          <w:bCs/>
          <w:sz w:val="20"/>
          <w:szCs w:val="20"/>
        </w:rPr>
        <w:t>ADMINISTRACIÓN DE RIESGOS</w:t>
      </w:r>
    </w:p>
    <w:p w14:paraId="6163010E" w14:textId="77777777" w:rsidR="00B73F85" w:rsidRDefault="00B73F85" w:rsidP="00B73F85">
      <w:pPr>
        <w:spacing w:after="0"/>
        <w:jc w:val="center"/>
        <w:rPr>
          <w:rFonts w:ascii="Verdana" w:hAnsi="Verdana"/>
          <w:b/>
          <w:bCs/>
          <w:sz w:val="20"/>
          <w:szCs w:val="20"/>
        </w:rPr>
      </w:pPr>
    </w:p>
    <w:p w14:paraId="3CCDA678" w14:textId="1128B2E0" w:rsidR="00A64CAA" w:rsidRPr="00CF0120" w:rsidRDefault="00A64CAA" w:rsidP="00B73F85">
      <w:pPr>
        <w:spacing w:after="0"/>
        <w:jc w:val="center"/>
        <w:rPr>
          <w:rFonts w:ascii="Verdana" w:hAnsi="Verdana"/>
          <w:b/>
          <w:bCs/>
          <w:sz w:val="20"/>
          <w:szCs w:val="20"/>
        </w:rPr>
      </w:pPr>
      <w:r w:rsidRPr="00CF0120">
        <w:rPr>
          <w:rFonts w:ascii="Verdana" w:hAnsi="Verdana"/>
          <w:b/>
          <w:bCs/>
          <w:sz w:val="20"/>
          <w:szCs w:val="20"/>
        </w:rPr>
        <w:t>CAPÍTULO 1</w:t>
      </w:r>
    </w:p>
    <w:p w14:paraId="38781A38" w14:textId="77777777" w:rsidR="00A64CAA" w:rsidRPr="00CF0120" w:rsidRDefault="00A64CAA" w:rsidP="00B73F85">
      <w:pPr>
        <w:spacing w:after="0"/>
        <w:jc w:val="center"/>
        <w:rPr>
          <w:rFonts w:ascii="Verdana" w:hAnsi="Verdana"/>
          <w:b/>
          <w:bCs/>
          <w:sz w:val="20"/>
          <w:szCs w:val="20"/>
        </w:rPr>
      </w:pPr>
      <w:r w:rsidRPr="00CF0120">
        <w:rPr>
          <w:rFonts w:ascii="Verdana" w:hAnsi="Verdana"/>
          <w:b/>
          <w:bCs/>
          <w:sz w:val="20"/>
          <w:szCs w:val="20"/>
        </w:rPr>
        <w:t>SISTEMA INTEGRAL DE ADMINISTRACIÓN DE RIESGOS  </w:t>
      </w:r>
    </w:p>
    <w:p w14:paraId="72929AE6" w14:textId="44FF0556" w:rsidR="00A64CAA" w:rsidRPr="00CF0120" w:rsidRDefault="00A64CAA" w:rsidP="00B73F85">
      <w:pPr>
        <w:spacing w:after="0"/>
        <w:jc w:val="center"/>
        <w:rPr>
          <w:rFonts w:ascii="Verdana" w:hAnsi="Verdana"/>
          <w:b/>
          <w:bCs/>
          <w:sz w:val="20"/>
          <w:szCs w:val="20"/>
        </w:rPr>
      </w:pPr>
      <w:r w:rsidRPr="00CF0120">
        <w:rPr>
          <w:rFonts w:ascii="Verdana" w:hAnsi="Verdana"/>
          <w:b/>
          <w:bCs/>
          <w:sz w:val="20"/>
          <w:szCs w:val="20"/>
        </w:rPr>
        <w:t>(SIAR)</w:t>
      </w:r>
    </w:p>
    <w:p w14:paraId="7A558B77" w14:textId="77777777" w:rsidR="00B73F85" w:rsidRDefault="00B73F85" w:rsidP="00B73F85">
      <w:pPr>
        <w:spacing w:after="0"/>
        <w:jc w:val="center"/>
        <w:rPr>
          <w:rFonts w:ascii="Verdana" w:hAnsi="Verdana"/>
          <w:b/>
          <w:bCs/>
          <w:sz w:val="20"/>
          <w:szCs w:val="20"/>
        </w:rPr>
      </w:pPr>
    </w:p>
    <w:p w14:paraId="1F071BFB" w14:textId="2E2C7371" w:rsidR="00A64CAA" w:rsidRPr="00CF0120" w:rsidRDefault="00A64CAA" w:rsidP="00B73F85">
      <w:pPr>
        <w:spacing w:after="0"/>
        <w:jc w:val="center"/>
        <w:rPr>
          <w:rFonts w:ascii="Verdana" w:hAnsi="Verdana"/>
          <w:b/>
          <w:bCs/>
          <w:sz w:val="20"/>
          <w:szCs w:val="20"/>
        </w:rPr>
      </w:pPr>
      <w:r w:rsidRPr="00CF0120">
        <w:rPr>
          <w:rFonts w:ascii="Verdana" w:hAnsi="Verdana"/>
          <w:b/>
          <w:bCs/>
          <w:sz w:val="20"/>
          <w:szCs w:val="20"/>
        </w:rPr>
        <w:t>ANEXO 1</w:t>
      </w:r>
      <w:r w:rsidR="0010156A">
        <w:rPr>
          <w:rFonts w:ascii="Verdana" w:hAnsi="Verdana"/>
          <w:b/>
          <w:bCs/>
          <w:sz w:val="20"/>
          <w:szCs w:val="20"/>
        </w:rPr>
        <w:t>2</w:t>
      </w:r>
    </w:p>
    <w:p w14:paraId="209E9E55" w14:textId="342F7A08" w:rsidR="00B233B8" w:rsidRPr="00B233B8" w:rsidRDefault="00B233B8" w:rsidP="00B73F85">
      <w:pPr>
        <w:tabs>
          <w:tab w:val="left" w:pos="0"/>
          <w:tab w:val="left" w:pos="709"/>
        </w:tabs>
        <w:spacing w:after="0"/>
        <w:jc w:val="center"/>
        <w:rPr>
          <w:rFonts w:ascii="Verdana" w:hAnsi="Verdana"/>
          <w:sz w:val="20"/>
          <w:szCs w:val="20"/>
        </w:rPr>
      </w:pPr>
      <w:r w:rsidRPr="00B233B8">
        <w:rPr>
          <w:rFonts w:ascii="Verdana" w:hAnsi="Verdana"/>
          <w:b/>
          <w:sz w:val="20"/>
          <w:szCs w:val="20"/>
        </w:rPr>
        <w:t>METODOLOGÍA PARA LA MEDICIÓN Y REPORTE ESTÁNDAR DEL COEFICIENTE DE FONDEO ESTABLE NETO DE LOS ESTABLECIMIENTOS DE CRÉDITO, ORGANISMOS COOPERATIVOS DE GRADO SUPERIOR Y ALGUNAS INSTITUCIONES OFICIALES ESPECIALES (IOE)</w:t>
      </w:r>
    </w:p>
    <w:p w14:paraId="34FD7863" w14:textId="77777777" w:rsidR="009D6127" w:rsidRDefault="009D6127" w:rsidP="009D6127">
      <w:pPr>
        <w:rPr>
          <w:rFonts w:ascii="Verdana" w:hAnsi="Verdana"/>
          <w:b/>
          <w:bCs/>
          <w:sz w:val="20"/>
          <w:szCs w:val="20"/>
        </w:rPr>
      </w:pPr>
    </w:p>
    <w:p w14:paraId="7E3E673F" w14:textId="35ADEE4D" w:rsidR="00912847" w:rsidRPr="00912847" w:rsidRDefault="00F519F0" w:rsidP="001259CE">
      <w:pPr>
        <w:jc w:val="both"/>
        <w:rPr>
          <w:rFonts w:ascii="Verdana" w:hAnsi="Verdana"/>
          <w:sz w:val="20"/>
        </w:rPr>
      </w:pPr>
      <w:r w:rsidRPr="00956634">
        <w:rPr>
          <w:rFonts w:ascii="Verdana" w:hAnsi="Verdana"/>
          <w:b/>
          <w:bCs/>
          <w:sz w:val="20"/>
          <w:szCs w:val="20"/>
        </w:rPr>
        <w:t>CONSIDERACIONES GENERALES</w:t>
      </w:r>
    </w:p>
    <w:p w14:paraId="59EC59FB" w14:textId="301B360A" w:rsidR="00A6611A" w:rsidRPr="00964B84" w:rsidRDefault="00A6611A" w:rsidP="00A6611A">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.1.</w:t>
      </w:r>
    </w:p>
    <w:p w14:paraId="3B0BCCBB" w14:textId="3BA9336A" w:rsidR="00912847" w:rsidRPr="00912847" w:rsidRDefault="00912847" w:rsidP="00912847">
      <w:pPr>
        <w:jc w:val="both"/>
        <w:rPr>
          <w:rFonts w:ascii="Verdana" w:hAnsi="Verdana"/>
          <w:sz w:val="20"/>
          <w:szCs w:val="20"/>
        </w:rPr>
      </w:pPr>
      <w:r w:rsidRPr="00912847">
        <w:rPr>
          <w:rFonts w:ascii="Verdana" w:hAnsi="Verdana"/>
          <w:sz w:val="20"/>
          <w:szCs w:val="20"/>
        </w:rPr>
        <w:t xml:space="preserve">En el presente </w:t>
      </w:r>
      <w:r w:rsidR="002366AC">
        <w:rPr>
          <w:rFonts w:ascii="Verdana" w:hAnsi="Verdana"/>
          <w:sz w:val="20"/>
          <w:szCs w:val="20"/>
        </w:rPr>
        <w:t>a</w:t>
      </w:r>
      <w:r w:rsidRPr="00912847">
        <w:rPr>
          <w:rFonts w:ascii="Verdana" w:hAnsi="Verdana"/>
          <w:sz w:val="20"/>
          <w:szCs w:val="20"/>
        </w:rPr>
        <w:t xml:space="preserve">nexo se establece la metodología para la medición y las características del reporte del Coeficiente de Fondeo Estable Neto (CFEN) que debe ser remitido mensualmente por los establecimientos de crédito, organismos cooperativos de grado </w:t>
      </w:r>
      <w:r w:rsidRPr="00667961">
        <w:rPr>
          <w:rFonts w:ascii="Verdana" w:hAnsi="Verdana"/>
          <w:sz w:val="20"/>
          <w:szCs w:val="20"/>
        </w:rPr>
        <w:t>superior e IOE señaladas en el</w:t>
      </w:r>
      <w:r w:rsidR="00667961" w:rsidRPr="00667961">
        <w:rPr>
          <w:rFonts w:ascii="Verdana" w:hAnsi="Verdana"/>
          <w:sz w:val="20"/>
          <w:szCs w:val="20"/>
        </w:rPr>
        <w:t xml:space="preserve"> párrafo</w:t>
      </w:r>
      <w:r w:rsidR="00667961">
        <w:rPr>
          <w:rFonts w:ascii="Verdana" w:hAnsi="Verdana"/>
          <w:sz w:val="20"/>
          <w:szCs w:val="20"/>
        </w:rPr>
        <w:t xml:space="preserve"> 1.1.2.160. de la CBF</w:t>
      </w:r>
      <w:r w:rsidRPr="00912847">
        <w:rPr>
          <w:rFonts w:ascii="Verdana" w:hAnsi="Verdana"/>
          <w:sz w:val="20"/>
          <w:szCs w:val="20"/>
        </w:rPr>
        <w:t xml:space="preserve">, en adelante las entidades, conforme a </w:t>
      </w:r>
      <w:r w:rsidR="00846AF3">
        <w:rPr>
          <w:rFonts w:ascii="Verdana" w:hAnsi="Verdana"/>
          <w:sz w:val="20"/>
          <w:szCs w:val="20"/>
        </w:rPr>
        <w:t xml:space="preserve">la información financiera de </w:t>
      </w:r>
      <w:r w:rsidRPr="00912847">
        <w:rPr>
          <w:rFonts w:ascii="Verdana" w:hAnsi="Verdana"/>
          <w:sz w:val="20"/>
          <w:szCs w:val="20"/>
        </w:rPr>
        <w:t>sus estados financieros separados.</w:t>
      </w:r>
    </w:p>
    <w:p w14:paraId="72437E38" w14:textId="58732297" w:rsidR="000511FA" w:rsidRPr="00964B84" w:rsidRDefault="000511FA" w:rsidP="000511FA">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w:t>
      </w:r>
      <w:r>
        <w:rPr>
          <w:rFonts w:ascii="Verdana" w:hAnsi="Verdana"/>
          <w:sz w:val="20"/>
          <w:szCs w:val="20"/>
        </w:rPr>
        <w:t>2</w:t>
      </w:r>
      <w:r w:rsidRPr="00964B84">
        <w:rPr>
          <w:rFonts w:ascii="Verdana" w:hAnsi="Verdana"/>
          <w:sz w:val="20"/>
          <w:szCs w:val="20"/>
        </w:rPr>
        <w:t>.</w:t>
      </w:r>
    </w:p>
    <w:p w14:paraId="4D6D4A16" w14:textId="589D1B3F" w:rsidR="00912847" w:rsidRPr="00912847" w:rsidRDefault="00912847" w:rsidP="00912847">
      <w:pPr>
        <w:jc w:val="both"/>
        <w:rPr>
          <w:rFonts w:ascii="Verdana" w:hAnsi="Verdana"/>
          <w:sz w:val="20"/>
          <w:szCs w:val="20"/>
        </w:rPr>
      </w:pPr>
      <w:r w:rsidRPr="00912847">
        <w:rPr>
          <w:rFonts w:ascii="Verdana" w:hAnsi="Verdana"/>
          <w:sz w:val="20"/>
          <w:szCs w:val="20"/>
        </w:rPr>
        <w:t>La transformación de vencimientos realizada por las entidades constituye una pieza fundamental de la intermediación financiera. Sin embargo, las entidades pueden tener incentivos débiles para limitar la excesiva dependencia de un fondeo inestable de los activos estratégicos, que a menudo son ilíquidos. Así mismo, existen incentivos para que las entidades incrementen su nivel de apalancamiento recurriendo a la financiación mayorista a corto plazo, dado que esta alternativa se presenta generalmente de manera abundante y a bajo costo.</w:t>
      </w:r>
    </w:p>
    <w:p w14:paraId="56758E61" w14:textId="11FF73B6" w:rsidR="00B33591" w:rsidRPr="00964B84" w:rsidRDefault="00B33591" w:rsidP="00B33591">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w:t>
      </w:r>
      <w:r>
        <w:rPr>
          <w:rFonts w:ascii="Verdana" w:hAnsi="Verdana"/>
          <w:sz w:val="20"/>
          <w:szCs w:val="20"/>
        </w:rPr>
        <w:t>3</w:t>
      </w:r>
      <w:r w:rsidRPr="00964B84">
        <w:rPr>
          <w:rFonts w:ascii="Verdana" w:hAnsi="Verdana"/>
          <w:sz w:val="20"/>
          <w:szCs w:val="20"/>
        </w:rPr>
        <w:t>.</w:t>
      </w:r>
    </w:p>
    <w:p w14:paraId="3EF7B537" w14:textId="48EFB71E" w:rsidR="00912847" w:rsidRPr="00912847" w:rsidRDefault="00912847" w:rsidP="00912847">
      <w:pPr>
        <w:jc w:val="both"/>
        <w:rPr>
          <w:rFonts w:ascii="Verdana" w:hAnsi="Verdana"/>
          <w:sz w:val="20"/>
          <w:szCs w:val="20"/>
        </w:rPr>
      </w:pPr>
      <w:r w:rsidRPr="00912847">
        <w:rPr>
          <w:rFonts w:ascii="Verdana" w:hAnsi="Verdana"/>
          <w:sz w:val="20"/>
          <w:szCs w:val="20"/>
        </w:rPr>
        <w:t>En consecuencia, las entidades deben gestionar adecuadamente su capacidad para responder ante perturbaciones de liquidez y evitar así implicaciones sobre la estabilidad financiera. En ese sentido, el CFEN busca que las entidades internalicen los costos asociados a los desajustes de fondeo, exigiendo que mantengan un perfil de fondeo estable en relación con la composición de sus activos.</w:t>
      </w:r>
    </w:p>
    <w:p w14:paraId="72EDEC2D" w14:textId="3C1E8F93" w:rsidR="00912847" w:rsidRPr="00505B79" w:rsidRDefault="00505B79" w:rsidP="00505B79">
      <w:pPr>
        <w:jc w:val="both"/>
        <w:rPr>
          <w:rFonts w:ascii="Verdana" w:hAnsi="Verdana"/>
          <w:b/>
          <w:bCs/>
          <w:sz w:val="20"/>
          <w:szCs w:val="20"/>
        </w:rPr>
      </w:pPr>
      <w:r w:rsidRPr="00956634">
        <w:rPr>
          <w:rFonts w:ascii="Verdana" w:hAnsi="Verdana"/>
          <w:b/>
          <w:bCs/>
          <w:sz w:val="20"/>
          <w:szCs w:val="20"/>
        </w:rPr>
        <w:t>METODOLOGÍA ESTÁNDAR DE MEDICIÓN</w:t>
      </w:r>
    </w:p>
    <w:p w14:paraId="58ABB809" w14:textId="73EE8571" w:rsidR="00912847" w:rsidRPr="001259CE" w:rsidRDefault="00912847" w:rsidP="001259CE">
      <w:pPr>
        <w:jc w:val="both"/>
        <w:rPr>
          <w:rFonts w:ascii="Verdana" w:hAnsi="Verdana"/>
          <w:b/>
          <w:bCs/>
          <w:sz w:val="20"/>
          <w:szCs w:val="20"/>
        </w:rPr>
      </w:pPr>
      <w:r w:rsidRPr="001259CE">
        <w:rPr>
          <w:rFonts w:ascii="Verdana" w:hAnsi="Verdana"/>
          <w:b/>
          <w:bCs/>
          <w:sz w:val="20"/>
          <w:szCs w:val="20"/>
        </w:rPr>
        <w:t xml:space="preserve">Fondeo </w:t>
      </w:r>
      <w:r w:rsidR="00A7497C" w:rsidRPr="001259CE">
        <w:rPr>
          <w:rFonts w:ascii="Verdana" w:hAnsi="Verdana"/>
          <w:b/>
          <w:bCs/>
          <w:sz w:val="20"/>
          <w:szCs w:val="20"/>
        </w:rPr>
        <w:t>e</w:t>
      </w:r>
      <w:r w:rsidRPr="001259CE">
        <w:rPr>
          <w:rFonts w:ascii="Verdana" w:hAnsi="Verdana"/>
          <w:b/>
          <w:bCs/>
          <w:sz w:val="20"/>
          <w:szCs w:val="20"/>
        </w:rPr>
        <w:t xml:space="preserve">stable </w:t>
      </w:r>
      <w:r w:rsidR="00A7497C" w:rsidRPr="001259CE">
        <w:rPr>
          <w:rFonts w:ascii="Verdana" w:hAnsi="Verdana"/>
          <w:b/>
          <w:bCs/>
          <w:sz w:val="20"/>
          <w:szCs w:val="20"/>
        </w:rPr>
        <w:t>d</w:t>
      </w:r>
      <w:r w:rsidRPr="001259CE">
        <w:rPr>
          <w:rFonts w:ascii="Verdana" w:hAnsi="Verdana"/>
          <w:b/>
          <w:bCs/>
          <w:sz w:val="20"/>
          <w:szCs w:val="20"/>
        </w:rPr>
        <w:t>isponible (FED)</w:t>
      </w:r>
    </w:p>
    <w:p w14:paraId="0C48C881" w14:textId="4614E088" w:rsidR="00CA1607" w:rsidRPr="00964B84" w:rsidRDefault="00CA1607" w:rsidP="00CA1607">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w:t>
      </w:r>
      <w:r>
        <w:rPr>
          <w:rFonts w:ascii="Verdana" w:hAnsi="Verdana"/>
          <w:sz w:val="20"/>
          <w:szCs w:val="20"/>
        </w:rPr>
        <w:t>4</w:t>
      </w:r>
      <w:r w:rsidRPr="00964B84">
        <w:rPr>
          <w:rFonts w:ascii="Verdana" w:hAnsi="Verdana"/>
          <w:sz w:val="20"/>
          <w:szCs w:val="20"/>
        </w:rPr>
        <w:t>.</w:t>
      </w:r>
    </w:p>
    <w:p w14:paraId="4EC01B84" w14:textId="5227AEA0" w:rsidR="00912847" w:rsidRPr="00912847" w:rsidRDefault="00912847" w:rsidP="00912847">
      <w:pPr>
        <w:jc w:val="both"/>
        <w:rPr>
          <w:rFonts w:ascii="Verdana" w:hAnsi="Verdana"/>
          <w:sz w:val="20"/>
          <w:szCs w:val="20"/>
        </w:rPr>
      </w:pPr>
      <w:r w:rsidRPr="00912847">
        <w:rPr>
          <w:rFonts w:ascii="Verdana" w:hAnsi="Verdana"/>
          <w:sz w:val="20"/>
          <w:szCs w:val="20"/>
        </w:rPr>
        <w:t>El FED se mide en función de las características generales de la estabilidad relativa de las fuentes de fondeo de las entidades, incluidas el plazo al vencimiento contractual de sus pasivos y la propensión al retiro por parte de los proveedores de financiación.</w:t>
      </w:r>
    </w:p>
    <w:p w14:paraId="2C416387" w14:textId="65E29B03" w:rsidR="00CB2A77" w:rsidRPr="00964B84" w:rsidRDefault="00CB2A77" w:rsidP="00CB2A77">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w:t>
      </w:r>
      <w:r>
        <w:rPr>
          <w:rFonts w:ascii="Verdana" w:hAnsi="Verdana"/>
          <w:sz w:val="20"/>
          <w:szCs w:val="20"/>
        </w:rPr>
        <w:t>5</w:t>
      </w:r>
      <w:r w:rsidRPr="00964B84">
        <w:rPr>
          <w:rFonts w:ascii="Verdana" w:hAnsi="Verdana"/>
          <w:sz w:val="20"/>
          <w:szCs w:val="20"/>
        </w:rPr>
        <w:t>.</w:t>
      </w:r>
    </w:p>
    <w:p w14:paraId="1EF187EA" w14:textId="77777777" w:rsidR="00912847" w:rsidRPr="00912847" w:rsidRDefault="00912847" w:rsidP="00912847">
      <w:pPr>
        <w:jc w:val="both"/>
        <w:rPr>
          <w:rFonts w:ascii="Verdana" w:hAnsi="Verdana"/>
          <w:sz w:val="20"/>
          <w:szCs w:val="20"/>
        </w:rPr>
      </w:pPr>
      <w:r w:rsidRPr="00912847">
        <w:rPr>
          <w:rFonts w:ascii="Verdana" w:hAnsi="Verdana"/>
          <w:sz w:val="20"/>
          <w:szCs w:val="20"/>
        </w:rPr>
        <w:t>El monto del FED se calcula multiplicando el valor contable total expresado en moneda legal de cada uno de los rubros del pasivo y patrimonio que se definen más adelante, por su factor FED, y posteriormente agregando todos los rubros ponderados.</w:t>
      </w:r>
    </w:p>
    <w:p w14:paraId="2F6A8F91" w14:textId="0F5591B1" w:rsidR="00D91A72" w:rsidRPr="00964B84" w:rsidRDefault="00D91A72" w:rsidP="00D91A72">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w:t>
      </w:r>
      <w:r>
        <w:rPr>
          <w:rFonts w:ascii="Verdana" w:hAnsi="Verdana"/>
          <w:sz w:val="20"/>
          <w:szCs w:val="20"/>
        </w:rPr>
        <w:t>6</w:t>
      </w:r>
      <w:r w:rsidRPr="00964B84">
        <w:rPr>
          <w:rFonts w:ascii="Verdana" w:hAnsi="Verdana"/>
          <w:sz w:val="20"/>
          <w:szCs w:val="20"/>
        </w:rPr>
        <w:t>.</w:t>
      </w:r>
    </w:p>
    <w:p w14:paraId="6CADE25D" w14:textId="475E2384" w:rsidR="00912847" w:rsidRPr="00912847" w:rsidRDefault="00912847" w:rsidP="00912847">
      <w:pPr>
        <w:jc w:val="both"/>
        <w:rPr>
          <w:rFonts w:ascii="Verdana" w:hAnsi="Verdana"/>
          <w:sz w:val="20"/>
          <w:szCs w:val="20"/>
        </w:rPr>
      </w:pPr>
      <w:r w:rsidRPr="00912847">
        <w:rPr>
          <w:rFonts w:ascii="Verdana" w:hAnsi="Verdana"/>
          <w:sz w:val="20"/>
          <w:szCs w:val="20"/>
        </w:rPr>
        <w:t xml:space="preserve">Al determinar el vencimiento de un instrumento incluido en los recursos propios o ajenos, se deberá tomar </w:t>
      </w:r>
      <w:r w:rsidR="008815F7">
        <w:rPr>
          <w:rFonts w:ascii="Verdana" w:hAnsi="Verdana"/>
          <w:sz w:val="20"/>
          <w:szCs w:val="20"/>
        </w:rPr>
        <w:t xml:space="preserve">en cuenta </w:t>
      </w:r>
      <w:r w:rsidRPr="00912847">
        <w:rPr>
          <w:rFonts w:ascii="Verdana" w:hAnsi="Verdana"/>
          <w:sz w:val="20"/>
          <w:szCs w:val="20"/>
        </w:rPr>
        <w:t xml:space="preserve">el tiempo restante hasta el vencimiento contractual de la obligación. En los casos de instrumentos que prevean la opción de ser redimidos anticipadamente, se debe suponer que el tenedor del instrumento ejerce </w:t>
      </w:r>
      <w:r w:rsidR="008815F7">
        <w:rPr>
          <w:rFonts w:ascii="Verdana" w:hAnsi="Verdana"/>
          <w:sz w:val="20"/>
          <w:szCs w:val="20"/>
        </w:rPr>
        <w:t>l</w:t>
      </w:r>
      <w:r w:rsidRPr="00912847">
        <w:rPr>
          <w:rFonts w:ascii="Verdana" w:hAnsi="Verdana"/>
          <w:sz w:val="20"/>
          <w:szCs w:val="20"/>
        </w:rPr>
        <w:t>a opción de redención anticipada en la primera fecha posible del instrumento.</w:t>
      </w:r>
    </w:p>
    <w:p w14:paraId="1B48790E" w14:textId="7E72DF8E" w:rsidR="00151F12" w:rsidRPr="00964B84" w:rsidRDefault="00151F12" w:rsidP="00151F12">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w:t>
      </w:r>
      <w:r>
        <w:rPr>
          <w:rFonts w:ascii="Verdana" w:hAnsi="Verdana"/>
          <w:sz w:val="20"/>
          <w:szCs w:val="20"/>
        </w:rPr>
        <w:t>7</w:t>
      </w:r>
      <w:r w:rsidRPr="00964B84">
        <w:rPr>
          <w:rFonts w:ascii="Verdana" w:hAnsi="Verdana"/>
          <w:sz w:val="20"/>
          <w:szCs w:val="20"/>
        </w:rPr>
        <w:t>.</w:t>
      </w:r>
    </w:p>
    <w:p w14:paraId="45E73FE2" w14:textId="77777777" w:rsidR="00912847" w:rsidRPr="00912847" w:rsidRDefault="00912847" w:rsidP="00912847">
      <w:pPr>
        <w:jc w:val="both"/>
        <w:rPr>
          <w:rFonts w:ascii="Verdana" w:hAnsi="Verdana"/>
          <w:sz w:val="20"/>
          <w:szCs w:val="20"/>
        </w:rPr>
      </w:pPr>
      <w:r w:rsidRPr="00912847">
        <w:rPr>
          <w:rFonts w:ascii="Verdana" w:hAnsi="Verdana"/>
          <w:sz w:val="20"/>
          <w:szCs w:val="20"/>
        </w:rPr>
        <w:t>En el caso de los pasivos con vencimiento residual mayor a 1 año, únicamente la porción de los flujos cuyo plazo residual sea igual o superior a los horizontes temporales de seis meses y un año deberá tratarse como si su vencimiento residual efectivo fuera igual o superior a seis meses e igual o superior a un año, respectivamente.</w:t>
      </w:r>
    </w:p>
    <w:p w14:paraId="6CD666A9" w14:textId="0FB19129" w:rsidR="001A0AAE" w:rsidRPr="00964B84" w:rsidRDefault="001A0AAE" w:rsidP="001A0AAE">
      <w:pPr>
        <w:spacing w:after="0"/>
        <w:rPr>
          <w:rFonts w:ascii="Verdana" w:hAnsi="Verdana"/>
          <w:sz w:val="20"/>
          <w:szCs w:val="20"/>
        </w:rPr>
      </w:pPr>
      <w:r w:rsidRPr="00964B84">
        <w:rPr>
          <w:rFonts w:ascii="Verdana" w:hAnsi="Verdana"/>
          <w:sz w:val="20"/>
          <w:szCs w:val="20"/>
        </w:rPr>
        <w:t>1.1.A1</w:t>
      </w:r>
      <w:r>
        <w:rPr>
          <w:rFonts w:ascii="Verdana" w:hAnsi="Verdana"/>
          <w:sz w:val="20"/>
          <w:szCs w:val="20"/>
        </w:rPr>
        <w:t>2</w:t>
      </w:r>
      <w:r w:rsidRPr="00964B84">
        <w:rPr>
          <w:rFonts w:ascii="Verdana" w:hAnsi="Verdana"/>
          <w:sz w:val="20"/>
          <w:szCs w:val="20"/>
        </w:rPr>
        <w:t>.</w:t>
      </w:r>
      <w:r>
        <w:rPr>
          <w:rFonts w:ascii="Verdana" w:hAnsi="Verdana"/>
          <w:sz w:val="20"/>
          <w:szCs w:val="20"/>
        </w:rPr>
        <w:t>8</w:t>
      </w:r>
      <w:r w:rsidRPr="00964B84">
        <w:rPr>
          <w:rFonts w:ascii="Verdana" w:hAnsi="Verdana"/>
          <w:sz w:val="20"/>
          <w:szCs w:val="20"/>
        </w:rPr>
        <w:t>.</w:t>
      </w:r>
    </w:p>
    <w:p w14:paraId="04AC60A7" w14:textId="68636182" w:rsidR="00912847" w:rsidRPr="00912847" w:rsidRDefault="00912847" w:rsidP="00912847">
      <w:pPr>
        <w:jc w:val="both"/>
        <w:rPr>
          <w:rFonts w:ascii="Verdana" w:hAnsi="Verdana"/>
          <w:sz w:val="20"/>
          <w:szCs w:val="20"/>
        </w:rPr>
      </w:pPr>
      <w:r w:rsidRPr="00912847">
        <w:rPr>
          <w:rFonts w:ascii="Verdana" w:hAnsi="Verdana"/>
          <w:sz w:val="20"/>
          <w:szCs w:val="20"/>
        </w:rPr>
        <w:t xml:space="preserve">Los instrumentos del pasivo que hagan parte del </w:t>
      </w:r>
      <w:r w:rsidR="002B38B6">
        <w:rPr>
          <w:rFonts w:ascii="Verdana" w:hAnsi="Verdana"/>
          <w:sz w:val="20"/>
          <w:szCs w:val="20"/>
        </w:rPr>
        <w:t>p</w:t>
      </w:r>
      <w:r w:rsidRPr="00912847">
        <w:rPr>
          <w:rFonts w:ascii="Verdana" w:hAnsi="Verdana"/>
          <w:sz w:val="20"/>
          <w:szCs w:val="20"/>
        </w:rPr>
        <w:t xml:space="preserve">atrimonio </w:t>
      </w:r>
      <w:r w:rsidR="002B38B6">
        <w:rPr>
          <w:rFonts w:ascii="Verdana" w:hAnsi="Verdana"/>
          <w:sz w:val="20"/>
          <w:szCs w:val="20"/>
        </w:rPr>
        <w:t>t</w:t>
      </w:r>
      <w:r w:rsidRPr="00912847">
        <w:rPr>
          <w:rFonts w:ascii="Verdana" w:hAnsi="Verdana"/>
          <w:sz w:val="20"/>
          <w:szCs w:val="20"/>
        </w:rPr>
        <w:t>écnico no deben contabilizarse en el rubro correspondiente del pasivo.</w:t>
      </w:r>
    </w:p>
    <w:p w14:paraId="248E8C1E" w14:textId="6B406AC0" w:rsidR="00E65D90" w:rsidRPr="00964B84" w:rsidRDefault="00E65D90" w:rsidP="00E65D90">
      <w:pPr>
        <w:spacing w:after="0"/>
        <w:rPr>
          <w:rFonts w:ascii="Verdana" w:hAnsi="Verdana"/>
          <w:sz w:val="20"/>
          <w:szCs w:val="20"/>
        </w:rPr>
      </w:pPr>
      <w:r w:rsidRPr="00964B84">
        <w:rPr>
          <w:rFonts w:ascii="Verdana" w:hAnsi="Verdana"/>
          <w:sz w:val="20"/>
          <w:szCs w:val="20"/>
        </w:rPr>
        <w:lastRenderedPageBreak/>
        <w:t>1.1.A1</w:t>
      </w:r>
      <w:r>
        <w:rPr>
          <w:rFonts w:ascii="Verdana" w:hAnsi="Verdana"/>
          <w:sz w:val="20"/>
          <w:szCs w:val="20"/>
        </w:rPr>
        <w:t>2</w:t>
      </w:r>
      <w:r w:rsidRPr="00964B84">
        <w:rPr>
          <w:rFonts w:ascii="Verdana" w:hAnsi="Verdana"/>
          <w:sz w:val="20"/>
          <w:szCs w:val="20"/>
        </w:rPr>
        <w:t>.</w:t>
      </w:r>
      <w:r>
        <w:rPr>
          <w:rFonts w:ascii="Verdana" w:hAnsi="Verdana"/>
          <w:sz w:val="20"/>
          <w:szCs w:val="20"/>
        </w:rPr>
        <w:t>9</w:t>
      </w:r>
      <w:r w:rsidRPr="00964B84">
        <w:rPr>
          <w:rFonts w:ascii="Verdana" w:hAnsi="Verdana"/>
          <w:sz w:val="20"/>
          <w:szCs w:val="20"/>
        </w:rPr>
        <w:t>.</w:t>
      </w:r>
    </w:p>
    <w:p w14:paraId="2021690A" w14:textId="77777777" w:rsidR="00912847" w:rsidRPr="00912847" w:rsidRDefault="00912847" w:rsidP="00912847">
      <w:pPr>
        <w:jc w:val="both"/>
        <w:rPr>
          <w:rFonts w:ascii="Verdana" w:hAnsi="Verdana"/>
          <w:sz w:val="20"/>
          <w:szCs w:val="20"/>
        </w:rPr>
      </w:pPr>
      <w:r w:rsidRPr="00912847">
        <w:rPr>
          <w:rFonts w:ascii="Verdana" w:hAnsi="Verdana"/>
          <w:sz w:val="20"/>
          <w:szCs w:val="20"/>
        </w:rPr>
        <w:t>Adicionalmente, se deben excluir del cálculo del FED los pasivos que forman parte de las operaciones interdependientes. Son operaciones interdependientes aquellas operaciones que se conforman por un pasivo y un activo interrelacionados y cumplen con los siguientes requisitos, los cuales deben constar en los documentos soporte de las operaciones:</w:t>
      </w:r>
    </w:p>
    <w:p w14:paraId="55DC83FE" w14:textId="77777777" w:rsidR="00C46498" w:rsidRDefault="00912847" w:rsidP="0056713B">
      <w:pPr>
        <w:pStyle w:val="Prrafodelista"/>
        <w:numPr>
          <w:ilvl w:val="0"/>
          <w:numId w:val="14"/>
        </w:numPr>
        <w:spacing w:after="0" w:line="240" w:lineRule="auto"/>
        <w:ind w:left="567" w:hanging="567"/>
        <w:jc w:val="both"/>
        <w:rPr>
          <w:rFonts w:ascii="Verdana" w:hAnsi="Verdana"/>
          <w:sz w:val="20"/>
          <w:szCs w:val="20"/>
        </w:rPr>
      </w:pPr>
      <w:r w:rsidRPr="00C46498">
        <w:rPr>
          <w:rFonts w:ascii="Verdana" w:hAnsi="Verdana"/>
          <w:sz w:val="20"/>
          <w:szCs w:val="20"/>
        </w:rPr>
        <w:t>Los rubros individuales interdependientes de activos y pasivos deben ser claramente identificables.</w:t>
      </w:r>
    </w:p>
    <w:p w14:paraId="001A5C38" w14:textId="77777777" w:rsidR="00C46498" w:rsidRDefault="00C46498" w:rsidP="00C46498">
      <w:pPr>
        <w:pStyle w:val="Prrafodelista"/>
        <w:spacing w:after="0" w:line="240" w:lineRule="auto"/>
        <w:ind w:left="567"/>
        <w:jc w:val="both"/>
        <w:rPr>
          <w:rFonts w:ascii="Verdana" w:hAnsi="Verdana"/>
          <w:sz w:val="20"/>
          <w:szCs w:val="20"/>
        </w:rPr>
      </w:pPr>
    </w:p>
    <w:p w14:paraId="0C640A32" w14:textId="77777777" w:rsidR="00C46498" w:rsidRDefault="00912847" w:rsidP="0056713B">
      <w:pPr>
        <w:pStyle w:val="Prrafodelista"/>
        <w:numPr>
          <w:ilvl w:val="0"/>
          <w:numId w:val="14"/>
        </w:numPr>
        <w:spacing w:after="0" w:line="240" w:lineRule="auto"/>
        <w:ind w:left="567" w:hanging="567"/>
        <w:jc w:val="both"/>
        <w:rPr>
          <w:rFonts w:ascii="Verdana" w:hAnsi="Verdana"/>
          <w:sz w:val="20"/>
          <w:szCs w:val="20"/>
        </w:rPr>
      </w:pPr>
      <w:r w:rsidRPr="00C46498">
        <w:rPr>
          <w:rFonts w:ascii="Verdana" w:hAnsi="Verdana"/>
          <w:sz w:val="20"/>
          <w:szCs w:val="20"/>
        </w:rPr>
        <w:t>El vencimiento del activo debe ser menor o igual al vencimiento del pasivo interdependiente. En consecuencia, el pasivo no se puede vencer mientras el activo permanezca en el balance general del establecimiento de crédito.</w:t>
      </w:r>
    </w:p>
    <w:p w14:paraId="74E7EAB7" w14:textId="77777777" w:rsidR="00C46498" w:rsidRPr="00C46498" w:rsidRDefault="00C46498" w:rsidP="00C46498">
      <w:pPr>
        <w:pStyle w:val="Prrafodelista"/>
        <w:rPr>
          <w:rFonts w:ascii="Verdana" w:hAnsi="Verdana"/>
          <w:sz w:val="20"/>
          <w:szCs w:val="20"/>
        </w:rPr>
      </w:pPr>
    </w:p>
    <w:p w14:paraId="21A473FA" w14:textId="77777777" w:rsidR="00C46498" w:rsidRDefault="00912847" w:rsidP="0056713B">
      <w:pPr>
        <w:pStyle w:val="Prrafodelista"/>
        <w:numPr>
          <w:ilvl w:val="0"/>
          <w:numId w:val="14"/>
        </w:numPr>
        <w:spacing w:after="0" w:line="240" w:lineRule="auto"/>
        <w:ind w:left="567" w:hanging="567"/>
        <w:jc w:val="both"/>
        <w:rPr>
          <w:rFonts w:ascii="Verdana" w:hAnsi="Verdana"/>
          <w:sz w:val="20"/>
          <w:szCs w:val="20"/>
        </w:rPr>
      </w:pPr>
      <w:r w:rsidRPr="00C46498">
        <w:rPr>
          <w:rFonts w:ascii="Verdana" w:hAnsi="Verdana"/>
          <w:sz w:val="20"/>
          <w:szCs w:val="20"/>
        </w:rPr>
        <w:t>El establecimiento de crédito debe actuar únicamente como un conducto a través del cual se canaliza la financiación recibida (el pasivo interdependiente) hacía el correspondiente activo interdependiente.</w:t>
      </w:r>
    </w:p>
    <w:p w14:paraId="3D020022" w14:textId="77777777" w:rsidR="00C46498" w:rsidRPr="00C46498" w:rsidRDefault="00C46498" w:rsidP="00C46498">
      <w:pPr>
        <w:pStyle w:val="Prrafodelista"/>
        <w:rPr>
          <w:rFonts w:ascii="Verdana" w:hAnsi="Verdana"/>
          <w:sz w:val="20"/>
          <w:szCs w:val="20"/>
        </w:rPr>
      </w:pPr>
    </w:p>
    <w:p w14:paraId="7665A2AF" w14:textId="46B315C3" w:rsidR="00C46498" w:rsidRDefault="00912847" w:rsidP="0056713B">
      <w:pPr>
        <w:pStyle w:val="Prrafodelista"/>
        <w:numPr>
          <w:ilvl w:val="0"/>
          <w:numId w:val="14"/>
        </w:numPr>
        <w:spacing w:after="0" w:line="240" w:lineRule="auto"/>
        <w:ind w:left="567" w:hanging="567"/>
        <w:jc w:val="both"/>
        <w:rPr>
          <w:rFonts w:ascii="Verdana" w:hAnsi="Verdana"/>
          <w:sz w:val="20"/>
          <w:szCs w:val="20"/>
        </w:rPr>
      </w:pPr>
      <w:r w:rsidRPr="00C46498">
        <w:rPr>
          <w:rFonts w:ascii="Verdana" w:hAnsi="Verdana"/>
          <w:sz w:val="20"/>
          <w:szCs w:val="20"/>
        </w:rPr>
        <w:t>Las contrapartes de cada par de activos y pasivos que conforman la operación interdependiente no deben ser las mismas.</w:t>
      </w:r>
    </w:p>
    <w:p w14:paraId="341F1C18" w14:textId="77777777" w:rsidR="00C46498" w:rsidRPr="00C46498" w:rsidRDefault="00C46498" w:rsidP="00C46498">
      <w:pPr>
        <w:pStyle w:val="Prrafodelista"/>
        <w:rPr>
          <w:rFonts w:ascii="Verdana" w:hAnsi="Verdana"/>
          <w:sz w:val="20"/>
          <w:szCs w:val="20"/>
        </w:rPr>
      </w:pPr>
    </w:p>
    <w:p w14:paraId="75CB2A57" w14:textId="6B55E1CD" w:rsidR="00C46498" w:rsidRDefault="00912847" w:rsidP="0056713B">
      <w:pPr>
        <w:pStyle w:val="Prrafodelista"/>
        <w:numPr>
          <w:ilvl w:val="0"/>
          <w:numId w:val="14"/>
        </w:numPr>
        <w:spacing w:after="0" w:line="240" w:lineRule="auto"/>
        <w:ind w:left="567" w:hanging="567"/>
        <w:jc w:val="both"/>
        <w:rPr>
          <w:rFonts w:ascii="Verdana" w:hAnsi="Verdana"/>
          <w:sz w:val="20"/>
          <w:szCs w:val="20"/>
        </w:rPr>
      </w:pPr>
      <w:r w:rsidRPr="00C46498">
        <w:rPr>
          <w:rFonts w:ascii="Verdana" w:hAnsi="Verdana"/>
          <w:sz w:val="20"/>
          <w:szCs w:val="20"/>
        </w:rPr>
        <w:t>Los flujos de pago del principal del activo sólo pueden destinarse a la amortización del pasivo.</w:t>
      </w:r>
    </w:p>
    <w:p w14:paraId="0E24413F" w14:textId="77777777" w:rsidR="00C46498" w:rsidRPr="00C46498" w:rsidRDefault="00C46498" w:rsidP="00C46498">
      <w:pPr>
        <w:pStyle w:val="Prrafodelista"/>
        <w:rPr>
          <w:rFonts w:ascii="Verdana" w:hAnsi="Verdana"/>
          <w:sz w:val="20"/>
          <w:szCs w:val="20"/>
        </w:rPr>
      </w:pPr>
    </w:p>
    <w:p w14:paraId="53E0974A" w14:textId="65814D50" w:rsidR="00912847" w:rsidRPr="00C46498" w:rsidRDefault="00912847" w:rsidP="0056713B">
      <w:pPr>
        <w:pStyle w:val="Prrafodelista"/>
        <w:numPr>
          <w:ilvl w:val="0"/>
          <w:numId w:val="14"/>
        </w:numPr>
        <w:spacing w:after="0" w:line="240" w:lineRule="auto"/>
        <w:ind w:left="567" w:hanging="567"/>
        <w:jc w:val="both"/>
        <w:rPr>
          <w:rFonts w:ascii="Verdana" w:hAnsi="Verdana"/>
          <w:sz w:val="20"/>
          <w:szCs w:val="20"/>
        </w:rPr>
      </w:pPr>
      <w:r w:rsidRPr="00C46498">
        <w:rPr>
          <w:rFonts w:ascii="Verdana" w:hAnsi="Verdana"/>
          <w:sz w:val="20"/>
          <w:szCs w:val="20"/>
        </w:rPr>
        <w:t>El pasivo no puede utilizarse para financiar activos distintos de los pactados en el contrato.</w:t>
      </w:r>
    </w:p>
    <w:p w14:paraId="7C4D5048" w14:textId="77777777" w:rsidR="0056713B" w:rsidRPr="00912847" w:rsidRDefault="0056713B" w:rsidP="0056713B">
      <w:pPr>
        <w:spacing w:after="0" w:line="240" w:lineRule="auto"/>
        <w:jc w:val="both"/>
        <w:rPr>
          <w:rFonts w:ascii="Verdana" w:hAnsi="Verdana"/>
          <w:sz w:val="20"/>
          <w:szCs w:val="20"/>
        </w:rPr>
      </w:pPr>
    </w:p>
    <w:p w14:paraId="3B1BD8DC" w14:textId="03951BBA" w:rsidR="007314AD" w:rsidRPr="00964B84" w:rsidRDefault="007314AD" w:rsidP="007314AD">
      <w:pPr>
        <w:spacing w:after="0"/>
        <w:rPr>
          <w:rFonts w:ascii="Verdana" w:hAnsi="Verdana"/>
          <w:sz w:val="20"/>
          <w:szCs w:val="20"/>
        </w:rPr>
      </w:pPr>
      <w:r w:rsidRPr="688A6030">
        <w:rPr>
          <w:rFonts w:ascii="Verdana" w:hAnsi="Verdana"/>
          <w:sz w:val="20"/>
          <w:szCs w:val="20"/>
        </w:rPr>
        <w:t>1.1.A12.1</w:t>
      </w:r>
      <w:r w:rsidR="00F38202" w:rsidRPr="688A6030">
        <w:rPr>
          <w:rFonts w:ascii="Verdana" w:hAnsi="Verdana"/>
          <w:sz w:val="20"/>
          <w:szCs w:val="20"/>
        </w:rPr>
        <w:t>0</w:t>
      </w:r>
      <w:r w:rsidRPr="688A6030">
        <w:rPr>
          <w:rFonts w:ascii="Verdana" w:hAnsi="Verdana"/>
          <w:sz w:val="20"/>
          <w:szCs w:val="20"/>
        </w:rPr>
        <w:t>.</w:t>
      </w:r>
    </w:p>
    <w:p w14:paraId="5634F3E4" w14:textId="28102608" w:rsidR="00912847" w:rsidRDefault="00912847" w:rsidP="00912847">
      <w:pPr>
        <w:jc w:val="both"/>
        <w:rPr>
          <w:rFonts w:ascii="Verdana" w:hAnsi="Verdana"/>
          <w:sz w:val="20"/>
          <w:szCs w:val="20"/>
        </w:rPr>
      </w:pPr>
      <w:r w:rsidRPr="00912847">
        <w:rPr>
          <w:rFonts w:ascii="Verdana" w:hAnsi="Verdana"/>
          <w:sz w:val="20"/>
          <w:szCs w:val="20"/>
        </w:rPr>
        <w:t>En el caso de que una operación clasificada como interdependiente deje de cumplir con alguna de las condiciones señaladas previamente, perderá esa condición y deberá clasificarse en los correspondientes rubros del FED.</w:t>
      </w:r>
    </w:p>
    <w:p w14:paraId="2D7FEB38" w14:textId="309C7D98" w:rsidR="00DD17E6" w:rsidRPr="00964B84" w:rsidRDefault="00DD17E6" w:rsidP="00DD17E6">
      <w:pPr>
        <w:spacing w:after="0"/>
        <w:rPr>
          <w:rFonts w:ascii="Verdana" w:hAnsi="Verdana"/>
          <w:sz w:val="20"/>
          <w:szCs w:val="20"/>
        </w:rPr>
      </w:pPr>
      <w:r w:rsidRPr="688A6030">
        <w:rPr>
          <w:rFonts w:ascii="Verdana" w:hAnsi="Verdana"/>
          <w:sz w:val="20"/>
          <w:szCs w:val="20"/>
        </w:rPr>
        <w:t>1.1.A12.1</w:t>
      </w:r>
      <w:r w:rsidR="41CCF3BC" w:rsidRPr="688A6030">
        <w:rPr>
          <w:rFonts w:ascii="Verdana" w:hAnsi="Verdana"/>
          <w:sz w:val="20"/>
          <w:szCs w:val="20"/>
        </w:rPr>
        <w:t>1</w:t>
      </w:r>
      <w:r w:rsidRPr="688A6030">
        <w:rPr>
          <w:rFonts w:ascii="Verdana" w:hAnsi="Verdana"/>
          <w:sz w:val="20"/>
          <w:szCs w:val="20"/>
        </w:rPr>
        <w:t>.</w:t>
      </w:r>
    </w:p>
    <w:p w14:paraId="0DFA00B0" w14:textId="13A13606" w:rsidR="00912847" w:rsidRPr="00912847" w:rsidRDefault="00912847" w:rsidP="00912847">
      <w:pPr>
        <w:jc w:val="both"/>
        <w:rPr>
          <w:rFonts w:ascii="Verdana" w:hAnsi="Verdana"/>
          <w:sz w:val="20"/>
          <w:szCs w:val="20"/>
        </w:rPr>
      </w:pPr>
      <w:r w:rsidRPr="00912847">
        <w:rPr>
          <w:rFonts w:ascii="Verdana" w:hAnsi="Verdana"/>
          <w:sz w:val="20"/>
          <w:szCs w:val="20"/>
        </w:rPr>
        <w:t xml:space="preserve">Las entidades deben mantener a disposición de la SFC un documento que sustente el cumplimiento de los requisitos señalados anteriormente. </w:t>
      </w:r>
    </w:p>
    <w:p w14:paraId="6B7CFD52" w14:textId="5D3B68DF" w:rsidR="009C33AF" w:rsidRPr="00964B84" w:rsidRDefault="009C33AF" w:rsidP="009C33AF">
      <w:pPr>
        <w:spacing w:after="0"/>
        <w:rPr>
          <w:rFonts w:ascii="Verdana" w:hAnsi="Verdana"/>
          <w:sz w:val="20"/>
          <w:szCs w:val="20"/>
        </w:rPr>
      </w:pPr>
      <w:r w:rsidRPr="688A6030">
        <w:rPr>
          <w:rFonts w:ascii="Verdana" w:hAnsi="Verdana"/>
          <w:sz w:val="20"/>
          <w:szCs w:val="20"/>
        </w:rPr>
        <w:t>1.1.A12.1</w:t>
      </w:r>
      <w:r w:rsidR="429891BA" w:rsidRPr="688A6030">
        <w:rPr>
          <w:rFonts w:ascii="Verdana" w:hAnsi="Verdana"/>
          <w:sz w:val="20"/>
          <w:szCs w:val="20"/>
        </w:rPr>
        <w:t>2</w:t>
      </w:r>
      <w:r w:rsidRPr="688A6030">
        <w:rPr>
          <w:rFonts w:ascii="Verdana" w:hAnsi="Verdana"/>
          <w:sz w:val="20"/>
          <w:szCs w:val="20"/>
        </w:rPr>
        <w:t>.</w:t>
      </w:r>
    </w:p>
    <w:p w14:paraId="4AF91476" w14:textId="6D04C2BC" w:rsidR="00912847" w:rsidRPr="00912847" w:rsidRDefault="00912847" w:rsidP="00912847">
      <w:pPr>
        <w:jc w:val="both"/>
        <w:rPr>
          <w:rFonts w:ascii="Verdana" w:hAnsi="Verdana"/>
          <w:sz w:val="20"/>
          <w:szCs w:val="20"/>
        </w:rPr>
      </w:pPr>
      <w:r w:rsidRPr="00912847">
        <w:rPr>
          <w:rFonts w:ascii="Verdana" w:hAnsi="Verdana"/>
          <w:sz w:val="20"/>
          <w:szCs w:val="20"/>
        </w:rPr>
        <w:t xml:space="preserve">Para los efectos de este anexo, las operaciones de redescuento se consideran operaciones interdependientes, pero no están sujetas a los requerimientos documentales previstos en el presente subnumeral para las operaciones interdependientes. </w:t>
      </w:r>
    </w:p>
    <w:p w14:paraId="2CA9D792" w14:textId="0E62E64B" w:rsidR="00912847" w:rsidRDefault="00912847" w:rsidP="004B61E8">
      <w:pPr>
        <w:pStyle w:val="Prrafodelista"/>
        <w:numPr>
          <w:ilvl w:val="0"/>
          <w:numId w:val="15"/>
        </w:numPr>
        <w:ind w:left="284" w:hanging="284"/>
        <w:jc w:val="both"/>
        <w:rPr>
          <w:rFonts w:ascii="Verdana" w:hAnsi="Verdana"/>
          <w:b/>
          <w:sz w:val="20"/>
          <w:szCs w:val="20"/>
        </w:rPr>
      </w:pPr>
      <w:r w:rsidRPr="004B61E8">
        <w:rPr>
          <w:rFonts w:ascii="Verdana" w:hAnsi="Verdana"/>
          <w:b/>
          <w:sz w:val="20"/>
          <w:szCs w:val="20"/>
        </w:rPr>
        <w:t>Categorías de pasivo y patrimonio que se incluyen en el FED</w:t>
      </w:r>
    </w:p>
    <w:p w14:paraId="1F180A3A" w14:textId="3D8EE688" w:rsidR="00702C14" w:rsidRPr="00702C14" w:rsidRDefault="00702C14" w:rsidP="00702C14">
      <w:pPr>
        <w:spacing w:after="0"/>
        <w:rPr>
          <w:rFonts w:ascii="Verdana" w:hAnsi="Verdana"/>
          <w:sz w:val="20"/>
          <w:szCs w:val="20"/>
        </w:rPr>
      </w:pPr>
      <w:r w:rsidRPr="00702C14">
        <w:rPr>
          <w:rFonts w:ascii="Verdana" w:hAnsi="Verdana"/>
          <w:sz w:val="20"/>
          <w:szCs w:val="20"/>
        </w:rPr>
        <w:t>1.1.A12.1</w:t>
      </w:r>
      <w:r>
        <w:rPr>
          <w:rFonts w:ascii="Verdana" w:hAnsi="Verdana"/>
          <w:sz w:val="20"/>
          <w:szCs w:val="20"/>
        </w:rPr>
        <w:t>3</w:t>
      </w:r>
      <w:r w:rsidRPr="00702C14">
        <w:rPr>
          <w:rFonts w:ascii="Verdana" w:hAnsi="Verdana"/>
          <w:sz w:val="20"/>
          <w:szCs w:val="20"/>
        </w:rPr>
        <w:t>.</w:t>
      </w:r>
    </w:p>
    <w:p w14:paraId="2AFB0E73" w14:textId="35128B3C" w:rsidR="00702C14" w:rsidRPr="00702C14" w:rsidRDefault="00702C14" w:rsidP="00702C14">
      <w:pPr>
        <w:jc w:val="both"/>
        <w:rPr>
          <w:rFonts w:ascii="Verdana" w:hAnsi="Verdana"/>
          <w:b/>
          <w:sz w:val="20"/>
          <w:szCs w:val="20"/>
        </w:rPr>
      </w:pPr>
      <w:r>
        <w:rPr>
          <w:rFonts w:ascii="Verdana" w:hAnsi="Verdana"/>
          <w:sz w:val="20"/>
          <w:szCs w:val="20"/>
        </w:rPr>
        <w:t>A continuación se establecen los rubros que componen el fondeo estable disponible (FED):</w:t>
      </w:r>
    </w:p>
    <w:tbl>
      <w:tblPr>
        <w:tblW w:w="8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6774"/>
        <w:gridCol w:w="1017"/>
      </w:tblGrid>
      <w:tr w:rsidR="00912847" w:rsidRPr="00912847" w14:paraId="27208FC3" w14:textId="77777777" w:rsidTr="688A6030">
        <w:trPr>
          <w:trHeight w:val="300"/>
          <w:tblHeader/>
        </w:trPr>
        <w:tc>
          <w:tcPr>
            <w:tcW w:w="8676" w:type="dxa"/>
            <w:gridSpan w:val="3"/>
            <w:shd w:val="clear" w:color="auto" w:fill="D1D1D1" w:themeFill="background2" w:themeFillShade="E6"/>
            <w:noWrap/>
            <w:vAlign w:val="center"/>
            <w:hideMark/>
          </w:tcPr>
          <w:p w14:paraId="41D86ED4" w14:textId="4906F69B" w:rsidR="00912847" w:rsidRPr="0040582E" w:rsidRDefault="00912847" w:rsidP="00A4685E">
            <w:pPr>
              <w:spacing w:after="0" w:line="240" w:lineRule="auto"/>
              <w:jc w:val="center"/>
              <w:rPr>
                <w:rFonts w:ascii="Verdana" w:eastAsia="Times New Roman" w:hAnsi="Verdana" w:cs="Arial"/>
                <w:b/>
                <w:bCs/>
                <w:color w:val="000000"/>
                <w:kern w:val="0"/>
                <w:sz w:val="16"/>
                <w:szCs w:val="16"/>
                <w:lang w:eastAsia="es-CO"/>
                <w14:ligatures w14:val="none"/>
              </w:rPr>
            </w:pPr>
            <w:r w:rsidRPr="0040582E">
              <w:rPr>
                <w:rFonts w:ascii="Verdana" w:eastAsia="Times New Roman" w:hAnsi="Verdana" w:cs="Arial"/>
                <w:b/>
                <w:bCs/>
                <w:color w:val="000000"/>
                <w:kern w:val="0"/>
                <w:sz w:val="16"/>
                <w:szCs w:val="16"/>
                <w:lang w:eastAsia="es-CO"/>
                <w14:ligatures w14:val="none"/>
              </w:rPr>
              <w:t xml:space="preserve">FONDEO ESTABLE DISPONIBLE </w:t>
            </w:r>
            <w:r w:rsidR="002B38B6">
              <w:rPr>
                <w:rFonts w:ascii="Verdana" w:eastAsia="Times New Roman" w:hAnsi="Verdana" w:cs="Arial"/>
                <w:b/>
                <w:bCs/>
                <w:color w:val="000000"/>
                <w:kern w:val="0"/>
                <w:sz w:val="16"/>
                <w:szCs w:val="16"/>
                <w:lang w:eastAsia="es-CO"/>
                <w14:ligatures w14:val="none"/>
              </w:rPr>
              <w:t>(</w:t>
            </w:r>
            <w:r w:rsidRPr="0040582E">
              <w:rPr>
                <w:rFonts w:ascii="Verdana" w:eastAsia="Times New Roman" w:hAnsi="Verdana" w:cs="Arial"/>
                <w:b/>
                <w:bCs/>
                <w:color w:val="000000"/>
                <w:kern w:val="0"/>
                <w:sz w:val="16"/>
                <w:szCs w:val="16"/>
                <w:lang w:eastAsia="es-CO"/>
                <w14:ligatures w14:val="none"/>
              </w:rPr>
              <w:t>FED</w:t>
            </w:r>
            <w:r w:rsidR="002B38B6">
              <w:rPr>
                <w:rFonts w:ascii="Verdana" w:eastAsia="Times New Roman" w:hAnsi="Verdana" w:cs="Arial"/>
                <w:b/>
                <w:bCs/>
                <w:color w:val="000000"/>
                <w:kern w:val="0"/>
                <w:sz w:val="16"/>
                <w:szCs w:val="16"/>
                <w:lang w:eastAsia="es-CO"/>
                <w14:ligatures w14:val="none"/>
              </w:rPr>
              <w:t>)</w:t>
            </w:r>
          </w:p>
        </w:tc>
      </w:tr>
      <w:tr w:rsidR="00912847" w:rsidRPr="00912847" w14:paraId="7BF8BD65" w14:textId="77777777" w:rsidTr="688A6030">
        <w:trPr>
          <w:trHeight w:val="300"/>
          <w:tblHeader/>
        </w:trPr>
        <w:tc>
          <w:tcPr>
            <w:tcW w:w="885" w:type="dxa"/>
            <w:shd w:val="clear" w:color="auto" w:fill="D1D1D1" w:themeFill="background2" w:themeFillShade="E6"/>
            <w:noWrap/>
            <w:vAlign w:val="center"/>
            <w:hideMark/>
          </w:tcPr>
          <w:p w14:paraId="2737F007" w14:textId="77777777" w:rsidR="00912847" w:rsidRPr="0040582E" w:rsidRDefault="00912847" w:rsidP="00A4685E">
            <w:pPr>
              <w:spacing w:after="0" w:line="240" w:lineRule="auto"/>
              <w:jc w:val="center"/>
              <w:rPr>
                <w:rFonts w:ascii="Verdana" w:eastAsia="Times New Roman" w:hAnsi="Verdana" w:cs="Arial"/>
                <w:b/>
                <w:bCs/>
                <w:color w:val="000000"/>
                <w:kern w:val="0"/>
                <w:sz w:val="16"/>
                <w:szCs w:val="16"/>
                <w:lang w:eastAsia="es-CO"/>
                <w14:ligatures w14:val="none"/>
              </w:rPr>
            </w:pPr>
            <w:r w:rsidRPr="0040582E">
              <w:rPr>
                <w:rFonts w:ascii="Verdana" w:eastAsia="Times New Roman" w:hAnsi="Verdana" w:cs="Arial"/>
                <w:b/>
                <w:bCs/>
                <w:color w:val="000000"/>
                <w:kern w:val="0"/>
                <w:sz w:val="16"/>
                <w:szCs w:val="16"/>
                <w:lang w:eastAsia="es-CO"/>
                <w14:ligatures w14:val="none"/>
              </w:rPr>
              <w:t>Rubro</w:t>
            </w:r>
          </w:p>
        </w:tc>
        <w:tc>
          <w:tcPr>
            <w:tcW w:w="6774" w:type="dxa"/>
            <w:shd w:val="clear" w:color="auto" w:fill="D1D1D1" w:themeFill="background2" w:themeFillShade="E6"/>
            <w:noWrap/>
            <w:vAlign w:val="center"/>
            <w:hideMark/>
          </w:tcPr>
          <w:p w14:paraId="27FFFB42" w14:textId="77777777" w:rsidR="00912847" w:rsidRPr="0040582E" w:rsidRDefault="00912847" w:rsidP="00A4685E">
            <w:pPr>
              <w:spacing w:after="0" w:line="240" w:lineRule="auto"/>
              <w:jc w:val="center"/>
              <w:rPr>
                <w:rFonts w:ascii="Verdana" w:eastAsia="Times New Roman" w:hAnsi="Verdana" w:cs="Arial"/>
                <w:b/>
                <w:bCs/>
                <w:color w:val="000000"/>
                <w:kern w:val="0"/>
                <w:sz w:val="16"/>
                <w:szCs w:val="16"/>
                <w:lang w:eastAsia="es-CO"/>
                <w14:ligatures w14:val="none"/>
              </w:rPr>
            </w:pPr>
            <w:r w:rsidRPr="0040582E">
              <w:rPr>
                <w:rFonts w:ascii="Verdana" w:eastAsia="Times New Roman" w:hAnsi="Verdana" w:cs="Arial"/>
                <w:b/>
                <w:bCs/>
                <w:color w:val="000000"/>
                <w:kern w:val="0"/>
                <w:sz w:val="16"/>
                <w:szCs w:val="16"/>
                <w:lang w:eastAsia="es-CO"/>
                <w14:ligatures w14:val="none"/>
              </w:rPr>
              <w:t>Concepto</w:t>
            </w:r>
          </w:p>
        </w:tc>
        <w:tc>
          <w:tcPr>
            <w:tcW w:w="1017" w:type="dxa"/>
            <w:shd w:val="clear" w:color="auto" w:fill="D1D1D1" w:themeFill="background2" w:themeFillShade="E6"/>
            <w:vAlign w:val="center"/>
            <w:hideMark/>
          </w:tcPr>
          <w:p w14:paraId="2256EE17" w14:textId="77777777" w:rsidR="00912847" w:rsidRPr="0040582E" w:rsidRDefault="00912847" w:rsidP="00A4685E">
            <w:pPr>
              <w:spacing w:after="0" w:line="240" w:lineRule="auto"/>
              <w:jc w:val="center"/>
              <w:rPr>
                <w:rFonts w:ascii="Verdana" w:eastAsia="Times New Roman" w:hAnsi="Verdana" w:cs="Arial"/>
                <w:b/>
                <w:bCs/>
                <w:color w:val="000000"/>
                <w:kern w:val="0"/>
                <w:sz w:val="16"/>
                <w:szCs w:val="16"/>
                <w:lang w:eastAsia="es-CO"/>
                <w14:ligatures w14:val="none"/>
              </w:rPr>
            </w:pPr>
            <w:r w:rsidRPr="0040582E">
              <w:rPr>
                <w:rFonts w:ascii="Verdana" w:eastAsia="Times New Roman" w:hAnsi="Verdana" w:cs="Arial"/>
                <w:b/>
                <w:bCs/>
                <w:color w:val="000000"/>
                <w:kern w:val="0"/>
                <w:sz w:val="16"/>
                <w:szCs w:val="16"/>
                <w:lang w:eastAsia="es-CO"/>
                <w14:ligatures w14:val="none"/>
              </w:rPr>
              <w:t>Factor</w:t>
            </w:r>
          </w:p>
        </w:tc>
      </w:tr>
      <w:tr w:rsidR="00912847" w:rsidRPr="00912847" w14:paraId="3023F3AF" w14:textId="77777777" w:rsidTr="688A6030">
        <w:trPr>
          <w:trHeight w:val="300"/>
        </w:trPr>
        <w:tc>
          <w:tcPr>
            <w:tcW w:w="885" w:type="dxa"/>
            <w:noWrap/>
            <w:vAlign w:val="center"/>
          </w:tcPr>
          <w:p w14:paraId="1086D21E"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w:t>
            </w:r>
          </w:p>
        </w:tc>
        <w:tc>
          <w:tcPr>
            <w:tcW w:w="6774" w:type="dxa"/>
            <w:vAlign w:val="center"/>
            <w:hideMark/>
          </w:tcPr>
          <w:p w14:paraId="1F377748" w14:textId="7E3501B4"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Patrimonio </w:t>
            </w:r>
            <w:r w:rsidR="00925AFF">
              <w:rPr>
                <w:rFonts w:ascii="Verdana" w:eastAsia="Times New Roman" w:hAnsi="Verdana" w:cs="Arial"/>
                <w:color w:val="000000"/>
                <w:kern w:val="0"/>
                <w:sz w:val="16"/>
                <w:szCs w:val="16"/>
                <w:lang w:eastAsia="es-CO"/>
                <w14:ligatures w14:val="none"/>
              </w:rPr>
              <w:t>t</w:t>
            </w:r>
            <w:r w:rsidRPr="00A4685E">
              <w:rPr>
                <w:rFonts w:ascii="Verdana" w:eastAsia="Times New Roman" w:hAnsi="Verdana" w:cs="Arial"/>
                <w:color w:val="000000"/>
                <w:kern w:val="0"/>
                <w:sz w:val="16"/>
                <w:szCs w:val="16"/>
                <w:lang w:eastAsia="es-CO"/>
                <w14:ligatures w14:val="none"/>
              </w:rPr>
              <w:t xml:space="preserve">écnico (excluyendo el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atrimonio </w:t>
            </w:r>
            <w:r w:rsidR="00925AFF">
              <w:rPr>
                <w:rFonts w:ascii="Verdana" w:eastAsia="Times New Roman" w:hAnsi="Verdana" w:cs="Arial"/>
                <w:color w:val="000000"/>
                <w:kern w:val="0"/>
                <w:sz w:val="16"/>
                <w:szCs w:val="16"/>
                <w:lang w:eastAsia="es-CO"/>
                <w14:ligatures w14:val="none"/>
              </w:rPr>
              <w:t>a</w:t>
            </w:r>
            <w:r w:rsidRPr="00A4685E">
              <w:rPr>
                <w:rFonts w:ascii="Verdana" w:eastAsia="Times New Roman" w:hAnsi="Verdana" w:cs="Arial"/>
                <w:color w:val="000000"/>
                <w:kern w:val="0"/>
                <w:sz w:val="16"/>
                <w:szCs w:val="16"/>
                <w:lang w:eastAsia="es-CO"/>
                <w14:ligatures w14:val="none"/>
              </w:rPr>
              <w:t>dicional con vencimiento residual inferior a un año)</w:t>
            </w:r>
          </w:p>
        </w:tc>
        <w:tc>
          <w:tcPr>
            <w:tcW w:w="1017" w:type="dxa"/>
            <w:vAlign w:val="center"/>
            <w:hideMark/>
          </w:tcPr>
          <w:p w14:paraId="2DE7C958"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100%</w:t>
            </w:r>
          </w:p>
        </w:tc>
      </w:tr>
      <w:tr w:rsidR="00912847" w:rsidRPr="00912847" w14:paraId="39AC02FD" w14:textId="77777777" w:rsidTr="688A6030">
        <w:trPr>
          <w:trHeight w:val="300"/>
        </w:trPr>
        <w:tc>
          <w:tcPr>
            <w:tcW w:w="885" w:type="dxa"/>
            <w:noWrap/>
            <w:vAlign w:val="center"/>
          </w:tcPr>
          <w:p w14:paraId="6E485BAF"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w:t>
            </w:r>
          </w:p>
        </w:tc>
        <w:tc>
          <w:tcPr>
            <w:tcW w:w="6774" w:type="dxa"/>
            <w:vAlign w:val="center"/>
            <w:hideMark/>
          </w:tcPr>
          <w:p w14:paraId="68F243FB" w14:textId="46B483EB"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Otros instrumentos de </w:t>
            </w:r>
            <w:r w:rsidR="009E1837">
              <w:rPr>
                <w:rFonts w:ascii="Verdana" w:eastAsia="Times New Roman" w:hAnsi="Verdana" w:cs="Arial"/>
                <w:color w:val="000000"/>
                <w:kern w:val="0"/>
                <w:sz w:val="16"/>
                <w:szCs w:val="16"/>
                <w:lang w:eastAsia="es-CO"/>
                <w14:ligatures w14:val="none"/>
              </w:rPr>
              <w:t>c</w:t>
            </w:r>
            <w:r w:rsidRPr="00A4685E">
              <w:rPr>
                <w:rFonts w:ascii="Verdana" w:eastAsia="Times New Roman" w:hAnsi="Verdana" w:cs="Arial"/>
                <w:color w:val="000000"/>
                <w:kern w:val="0"/>
                <w:sz w:val="16"/>
                <w:szCs w:val="16"/>
                <w:lang w:eastAsia="es-CO"/>
                <w14:ligatures w14:val="none"/>
              </w:rPr>
              <w:t>apital (que no hagan parte del PT)</w:t>
            </w:r>
          </w:p>
        </w:tc>
        <w:tc>
          <w:tcPr>
            <w:tcW w:w="1017" w:type="dxa"/>
            <w:vAlign w:val="center"/>
            <w:hideMark/>
          </w:tcPr>
          <w:p w14:paraId="3126D451"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100%</w:t>
            </w:r>
          </w:p>
        </w:tc>
      </w:tr>
      <w:tr w:rsidR="00912847" w:rsidRPr="00912847" w14:paraId="2D370CB4" w14:textId="77777777" w:rsidTr="688A6030">
        <w:trPr>
          <w:trHeight w:val="300"/>
        </w:trPr>
        <w:tc>
          <w:tcPr>
            <w:tcW w:w="885" w:type="dxa"/>
            <w:noWrap/>
            <w:vAlign w:val="center"/>
          </w:tcPr>
          <w:p w14:paraId="16FB7C6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w:t>
            </w:r>
          </w:p>
        </w:tc>
        <w:tc>
          <w:tcPr>
            <w:tcW w:w="6774" w:type="dxa"/>
            <w:vAlign w:val="center"/>
            <w:hideMark/>
          </w:tcPr>
          <w:p w14:paraId="48E042C0" w14:textId="610DCA8C"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inoristas</w:t>
            </w:r>
          </w:p>
        </w:tc>
        <w:tc>
          <w:tcPr>
            <w:tcW w:w="1017" w:type="dxa"/>
            <w:vAlign w:val="center"/>
            <w:hideMark/>
          </w:tcPr>
          <w:p w14:paraId="5E6D969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3145959E" w14:textId="77777777" w:rsidTr="688A6030">
        <w:trPr>
          <w:trHeight w:val="300"/>
        </w:trPr>
        <w:tc>
          <w:tcPr>
            <w:tcW w:w="885" w:type="dxa"/>
            <w:noWrap/>
            <w:vAlign w:val="center"/>
          </w:tcPr>
          <w:p w14:paraId="33EF13CF"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4</w:t>
            </w:r>
          </w:p>
        </w:tc>
        <w:tc>
          <w:tcPr>
            <w:tcW w:w="6774" w:type="dxa"/>
            <w:vAlign w:val="center"/>
            <w:hideMark/>
          </w:tcPr>
          <w:p w14:paraId="75D7AB70" w14:textId="2060C8A6"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PYMES y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ersonas </w:t>
            </w:r>
            <w:r w:rsidR="00925AFF">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aturales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edianas</w:t>
            </w:r>
          </w:p>
        </w:tc>
        <w:tc>
          <w:tcPr>
            <w:tcW w:w="1017" w:type="dxa"/>
            <w:vAlign w:val="center"/>
            <w:hideMark/>
          </w:tcPr>
          <w:p w14:paraId="6DD8CD36"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36262FF6" w14:textId="77777777" w:rsidTr="688A6030">
        <w:trPr>
          <w:trHeight w:val="300"/>
        </w:trPr>
        <w:tc>
          <w:tcPr>
            <w:tcW w:w="885" w:type="dxa"/>
            <w:noWrap/>
            <w:vAlign w:val="center"/>
          </w:tcPr>
          <w:p w14:paraId="558991C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w:t>
            </w:r>
          </w:p>
        </w:tc>
        <w:tc>
          <w:tcPr>
            <w:tcW w:w="6774" w:type="dxa"/>
            <w:vAlign w:val="center"/>
            <w:hideMark/>
          </w:tcPr>
          <w:p w14:paraId="19A9A4A2" w14:textId="26D77055"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w:t>
            </w:r>
            <w:r w:rsidR="00925AFF">
              <w:rPr>
                <w:rFonts w:ascii="Verdana" w:eastAsia="Times New Roman" w:hAnsi="Verdana" w:cs="Arial"/>
                <w:color w:val="000000"/>
                <w:kern w:val="0"/>
                <w:sz w:val="16"/>
                <w:szCs w:val="16"/>
                <w:lang w:eastAsia="es-CO"/>
                <w14:ligatures w14:val="none"/>
              </w:rPr>
              <w:t>j</w:t>
            </w:r>
            <w:r w:rsidRPr="00A4685E">
              <w:rPr>
                <w:rFonts w:ascii="Verdana" w:eastAsia="Times New Roman" w:hAnsi="Verdana" w:cs="Arial"/>
                <w:color w:val="000000"/>
                <w:kern w:val="0"/>
                <w:sz w:val="16"/>
                <w:szCs w:val="16"/>
                <w:lang w:eastAsia="es-CO"/>
                <w14:ligatures w14:val="none"/>
              </w:rPr>
              <w:t>udiciales</w:t>
            </w:r>
          </w:p>
        </w:tc>
        <w:tc>
          <w:tcPr>
            <w:tcW w:w="1017" w:type="dxa"/>
            <w:vAlign w:val="center"/>
            <w:hideMark/>
          </w:tcPr>
          <w:p w14:paraId="1C1D969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464CE838" w14:textId="77777777" w:rsidTr="688A6030">
        <w:trPr>
          <w:trHeight w:val="300"/>
        </w:trPr>
        <w:tc>
          <w:tcPr>
            <w:tcW w:w="885" w:type="dxa"/>
            <w:noWrap/>
            <w:vAlign w:val="center"/>
          </w:tcPr>
          <w:p w14:paraId="720AD0CC"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6</w:t>
            </w:r>
          </w:p>
        </w:tc>
        <w:tc>
          <w:tcPr>
            <w:tcW w:w="6774" w:type="dxa"/>
            <w:vAlign w:val="center"/>
            <w:hideMark/>
          </w:tcPr>
          <w:p w14:paraId="23F9198C" w14:textId="7CB0BB61"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ayoristas </w:t>
            </w:r>
            <w:r w:rsidR="00925AFF">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ector </w:t>
            </w:r>
            <w:r w:rsidR="00925AFF">
              <w:rPr>
                <w:rFonts w:ascii="Verdana" w:eastAsia="Times New Roman" w:hAnsi="Verdana" w:cs="Arial"/>
                <w:color w:val="000000"/>
                <w:kern w:val="0"/>
                <w:sz w:val="16"/>
                <w:szCs w:val="16"/>
                <w:lang w:eastAsia="es-CO"/>
                <w14:ligatures w14:val="none"/>
              </w:rPr>
              <w:t>r</w:t>
            </w:r>
            <w:r w:rsidRPr="00A4685E">
              <w:rPr>
                <w:rFonts w:ascii="Verdana" w:eastAsia="Times New Roman" w:hAnsi="Verdana" w:cs="Arial"/>
                <w:color w:val="000000"/>
                <w:kern w:val="0"/>
                <w:sz w:val="16"/>
                <w:szCs w:val="16"/>
                <w:lang w:eastAsia="es-CO"/>
                <w14:ligatures w14:val="none"/>
              </w:rPr>
              <w:t xml:space="preserve">eal (operativos) y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ersonas </w:t>
            </w:r>
            <w:r w:rsidR="00925AFF">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aturales </w:t>
            </w:r>
            <w:r w:rsidR="00925AFF">
              <w:rPr>
                <w:rFonts w:ascii="Verdana" w:eastAsia="Times New Roman" w:hAnsi="Verdana" w:cs="Arial"/>
                <w:color w:val="000000"/>
                <w:kern w:val="0"/>
                <w:sz w:val="16"/>
                <w:szCs w:val="16"/>
                <w:lang w:eastAsia="es-CO"/>
                <w14:ligatures w14:val="none"/>
              </w:rPr>
              <w:t>g</w:t>
            </w:r>
            <w:r w:rsidRPr="00A4685E">
              <w:rPr>
                <w:rFonts w:ascii="Verdana" w:eastAsia="Times New Roman" w:hAnsi="Verdana" w:cs="Arial"/>
                <w:color w:val="000000"/>
                <w:kern w:val="0"/>
                <w:sz w:val="16"/>
                <w:szCs w:val="16"/>
                <w:lang w:eastAsia="es-CO"/>
                <w14:ligatures w14:val="none"/>
              </w:rPr>
              <w:t xml:space="preserve">randes </w:t>
            </w:r>
          </w:p>
        </w:tc>
        <w:tc>
          <w:tcPr>
            <w:tcW w:w="1017" w:type="dxa"/>
            <w:vAlign w:val="center"/>
            <w:hideMark/>
          </w:tcPr>
          <w:p w14:paraId="2655D80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90%</w:t>
            </w:r>
          </w:p>
        </w:tc>
      </w:tr>
      <w:tr w:rsidR="00912847" w:rsidRPr="00912847" w14:paraId="7EE915CC" w14:textId="77777777" w:rsidTr="688A6030">
        <w:trPr>
          <w:trHeight w:val="300"/>
        </w:trPr>
        <w:tc>
          <w:tcPr>
            <w:tcW w:w="885" w:type="dxa"/>
            <w:noWrap/>
            <w:vAlign w:val="center"/>
          </w:tcPr>
          <w:p w14:paraId="0F75933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7</w:t>
            </w:r>
          </w:p>
        </w:tc>
        <w:tc>
          <w:tcPr>
            <w:tcW w:w="6774" w:type="dxa"/>
            <w:vAlign w:val="center"/>
          </w:tcPr>
          <w:p w14:paraId="2C9DB43F" w14:textId="5BB16ED9"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ayoristas </w:t>
            </w:r>
            <w:r w:rsidR="00925AFF">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ector </w:t>
            </w:r>
            <w:r w:rsidR="00925AFF">
              <w:rPr>
                <w:rFonts w:ascii="Verdana" w:eastAsia="Times New Roman" w:hAnsi="Verdana" w:cs="Arial"/>
                <w:color w:val="000000"/>
                <w:kern w:val="0"/>
                <w:sz w:val="16"/>
                <w:szCs w:val="16"/>
                <w:lang w:eastAsia="es-CO"/>
                <w14:ligatures w14:val="none"/>
              </w:rPr>
              <w:t>r</w:t>
            </w:r>
            <w:r w:rsidRPr="00A4685E">
              <w:rPr>
                <w:rFonts w:ascii="Verdana" w:eastAsia="Times New Roman" w:hAnsi="Verdana" w:cs="Arial"/>
                <w:color w:val="000000"/>
                <w:kern w:val="0"/>
                <w:sz w:val="16"/>
                <w:szCs w:val="16"/>
                <w:lang w:eastAsia="es-CO"/>
                <w14:ligatures w14:val="none"/>
              </w:rPr>
              <w:t xml:space="preserve">eal (no operativos) </w:t>
            </w:r>
          </w:p>
        </w:tc>
        <w:tc>
          <w:tcPr>
            <w:tcW w:w="1017" w:type="dxa"/>
            <w:vAlign w:val="center"/>
          </w:tcPr>
          <w:p w14:paraId="391893C1"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746AA2C5" w14:textId="77777777" w:rsidTr="688A6030">
        <w:trPr>
          <w:trHeight w:val="300"/>
        </w:trPr>
        <w:tc>
          <w:tcPr>
            <w:tcW w:w="885" w:type="dxa"/>
            <w:noWrap/>
            <w:vAlign w:val="center"/>
          </w:tcPr>
          <w:p w14:paraId="4EF62646"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8</w:t>
            </w:r>
          </w:p>
        </w:tc>
        <w:tc>
          <w:tcPr>
            <w:tcW w:w="6774" w:type="dxa"/>
            <w:vAlign w:val="center"/>
            <w:hideMark/>
          </w:tcPr>
          <w:p w14:paraId="54272C50" w14:textId="7BBE82E6"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w:t>
            </w:r>
            <w:r w:rsidR="00925AFF">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ector </w:t>
            </w:r>
            <w:r w:rsidR="00925AFF">
              <w:rPr>
                <w:rFonts w:ascii="Verdana" w:eastAsia="Times New Roman" w:hAnsi="Verdana" w:cs="Arial"/>
                <w:color w:val="000000"/>
                <w:kern w:val="0"/>
                <w:sz w:val="16"/>
                <w:szCs w:val="16"/>
                <w:lang w:eastAsia="es-CO"/>
                <w14:ligatures w14:val="none"/>
              </w:rPr>
              <w:t>g</w:t>
            </w:r>
            <w:r w:rsidRPr="00A4685E">
              <w:rPr>
                <w:rFonts w:ascii="Verdana" w:eastAsia="Times New Roman" w:hAnsi="Verdana" w:cs="Arial"/>
                <w:color w:val="000000"/>
                <w:kern w:val="0"/>
                <w:sz w:val="16"/>
                <w:szCs w:val="16"/>
                <w:lang w:eastAsia="es-CO"/>
                <w14:ligatures w14:val="none"/>
              </w:rPr>
              <w:t xml:space="preserve">obierno </w:t>
            </w:r>
            <w:r w:rsidR="00925AFF">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o </w:t>
            </w:r>
            <w:r w:rsidR="00925AFF">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 xml:space="preserve">inanciero </w:t>
            </w:r>
          </w:p>
        </w:tc>
        <w:tc>
          <w:tcPr>
            <w:tcW w:w="1017" w:type="dxa"/>
            <w:vAlign w:val="center"/>
            <w:hideMark/>
          </w:tcPr>
          <w:p w14:paraId="7DDBCD9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2DF80499" w14:textId="77777777" w:rsidTr="688A6030">
        <w:trPr>
          <w:trHeight w:val="300"/>
        </w:trPr>
        <w:tc>
          <w:tcPr>
            <w:tcW w:w="885" w:type="dxa"/>
            <w:noWrap/>
            <w:vAlign w:val="center"/>
          </w:tcPr>
          <w:p w14:paraId="39F35115"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w:t>
            </w:r>
          </w:p>
        </w:tc>
        <w:tc>
          <w:tcPr>
            <w:tcW w:w="6774" w:type="dxa"/>
            <w:vAlign w:val="center"/>
            <w:hideMark/>
          </w:tcPr>
          <w:p w14:paraId="467A73A9" w14:textId="28D9845F"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ayoristas </w:t>
            </w:r>
            <w:r w:rsidR="00925AFF">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 xml:space="preserve">xtranjeros </w:t>
            </w:r>
          </w:p>
        </w:tc>
        <w:tc>
          <w:tcPr>
            <w:tcW w:w="1017" w:type="dxa"/>
            <w:vAlign w:val="center"/>
            <w:hideMark/>
          </w:tcPr>
          <w:p w14:paraId="62B3FCD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25%</w:t>
            </w:r>
          </w:p>
        </w:tc>
      </w:tr>
      <w:tr w:rsidR="00912847" w:rsidRPr="00912847" w14:paraId="28092EF2" w14:textId="77777777" w:rsidTr="688A6030">
        <w:trPr>
          <w:trHeight w:val="300"/>
        </w:trPr>
        <w:tc>
          <w:tcPr>
            <w:tcW w:w="885" w:type="dxa"/>
            <w:noWrap/>
            <w:vAlign w:val="center"/>
          </w:tcPr>
          <w:p w14:paraId="1ED52D69" w14:textId="77777777" w:rsidR="00912847" w:rsidRPr="009872A4"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9872A4">
              <w:rPr>
                <w:rFonts w:ascii="Verdana" w:eastAsia="Times New Roman" w:hAnsi="Verdana" w:cs="Arial"/>
                <w:color w:val="000000"/>
                <w:kern w:val="0"/>
                <w:sz w:val="16"/>
                <w:szCs w:val="16"/>
                <w:lang w:eastAsia="es-CO"/>
                <w14:ligatures w14:val="none"/>
              </w:rPr>
              <w:t>10</w:t>
            </w:r>
          </w:p>
        </w:tc>
        <w:tc>
          <w:tcPr>
            <w:tcW w:w="6774" w:type="dxa"/>
            <w:vAlign w:val="center"/>
            <w:hideMark/>
          </w:tcPr>
          <w:p w14:paraId="733BE816" w14:textId="01F236D9" w:rsidR="00912847" w:rsidRPr="009872A4"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9872A4">
              <w:rPr>
                <w:rFonts w:ascii="Verdana" w:eastAsia="Times New Roman" w:hAnsi="Verdana" w:cs="Arial"/>
                <w:color w:val="000000"/>
                <w:kern w:val="0"/>
                <w:sz w:val="16"/>
                <w:szCs w:val="16"/>
                <w:lang w:eastAsia="es-CO"/>
                <w14:ligatures w14:val="none"/>
              </w:rPr>
              <w:t xml:space="preserve">Depósitos a la vista de </w:t>
            </w:r>
            <w:r w:rsidR="00925AFF" w:rsidRPr="009872A4">
              <w:rPr>
                <w:rFonts w:ascii="Verdana" w:eastAsia="Times New Roman" w:hAnsi="Verdana" w:cs="Arial"/>
                <w:color w:val="000000"/>
                <w:kern w:val="0"/>
                <w:sz w:val="16"/>
                <w:szCs w:val="16"/>
                <w:lang w:eastAsia="es-CO"/>
                <w14:ligatures w14:val="none"/>
              </w:rPr>
              <w:t>e</w:t>
            </w:r>
            <w:r w:rsidRPr="009872A4">
              <w:rPr>
                <w:rFonts w:ascii="Verdana" w:eastAsia="Times New Roman" w:hAnsi="Verdana" w:cs="Arial"/>
                <w:color w:val="000000"/>
                <w:kern w:val="0"/>
                <w:sz w:val="16"/>
                <w:szCs w:val="16"/>
                <w:lang w:eastAsia="es-CO"/>
                <w14:ligatures w14:val="none"/>
              </w:rPr>
              <w:t xml:space="preserve">ntidades </w:t>
            </w:r>
            <w:r w:rsidR="00925AFF" w:rsidRPr="009872A4">
              <w:rPr>
                <w:rFonts w:ascii="Verdana" w:eastAsia="Times New Roman" w:hAnsi="Verdana" w:cs="Arial"/>
                <w:color w:val="000000"/>
                <w:kern w:val="0"/>
                <w:sz w:val="16"/>
                <w:szCs w:val="16"/>
                <w:lang w:eastAsia="es-CO"/>
                <w14:ligatures w14:val="none"/>
              </w:rPr>
              <w:t>f</w:t>
            </w:r>
            <w:r w:rsidRPr="009872A4">
              <w:rPr>
                <w:rFonts w:ascii="Verdana" w:eastAsia="Times New Roman" w:hAnsi="Verdana" w:cs="Arial"/>
                <w:color w:val="000000"/>
                <w:kern w:val="0"/>
                <w:sz w:val="16"/>
                <w:szCs w:val="16"/>
                <w:lang w:eastAsia="es-CO"/>
                <w14:ligatures w14:val="none"/>
              </w:rPr>
              <w:t xml:space="preserve">inancieras </w:t>
            </w:r>
            <w:r w:rsidR="00925AFF" w:rsidRPr="009872A4">
              <w:rPr>
                <w:rFonts w:ascii="Verdana" w:eastAsia="Times New Roman" w:hAnsi="Verdana" w:cs="Arial"/>
                <w:color w:val="000000"/>
                <w:kern w:val="0"/>
                <w:sz w:val="16"/>
                <w:szCs w:val="16"/>
                <w:lang w:eastAsia="es-CO"/>
                <w14:ligatures w14:val="none"/>
              </w:rPr>
              <w:t>v</w:t>
            </w:r>
            <w:r w:rsidRPr="009872A4">
              <w:rPr>
                <w:rFonts w:ascii="Verdana" w:eastAsia="Times New Roman" w:hAnsi="Verdana" w:cs="Arial"/>
                <w:color w:val="000000"/>
                <w:kern w:val="0"/>
                <w:sz w:val="16"/>
                <w:szCs w:val="16"/>
                <w:lang w:eastAsia="es-CO"/>
                <w14:ligatures w14:val="none"/>
              </w:rPr>
              <w:t xml:space="preserve">igiladas (no operativos) de acuerdo con el </w:t>
            </w:r>
            <w:r w:rsidR="00427FB5" w:rsidRPr="009872A4">
              <w:rPr>
                <w:rFonts w:ascii="Verdana" w:eastAsia="Times New Roman" w:hAnsi="Verdana" w:cs="Arial"/>
                <w:color w:val="000000" w:themeColor="text1"/>
                <w:sz w:val="16"/>
                <w:szCs w:val="16"/>
                <w:lang w:eastAsia="es-CO"/>
              </w:rPr>
              <w:t xml:space="preserve">párrafo </w:t>
            </w:r>
            <w:r w:rsidR="00427FB5" w:rsidRPr="009872A4">
              <w:rPr>
                <w:rFonts w:ascii="Verdana" w:eastAsia="Times New Roman" w:hAnsi="Verdana" w:cs="Arial"/>
                <w:color w:val="000000"/>
                <w:kern w:val="0"/>
                <w:sz w:val="16"/>
                <w:szCs w:val="16"/>
                <w:lang w:eastAsia="es-CO"/>
                <w14:ligatures w14:val="none"/>
              </w:rPr>
              <w:t>1.</w:t>
            </w:r>
            <w:proofErr w:type="gramStart"/>
            <w:r w:rsidR="001E00A9" w:rsidRPr="009872A4">
              <w:rPr>
                <w:rFonts w:ascii="Verdana" w:eastAsia="Times New Roman" w:hAnsi="Verdana" w:cs="Arial"/>
                <w:color w:val="000000"/>
                <w:kern w:val="0"/>
                <w:sz w:val="16"/>
                <w:szCs w:val="16"/>
                <w:lang w:eastAsia="es-CO"/>
                <w14:ligatures w14:val="none"/>
              </w:rPr>
              <w:t>1.</w:t>
            </w:r>
            <w:r w:rsidR="00427FB5" w:rsidRPr="009872A4">
              <w:rPr>
                <w:rFonts w:ascii="Verdana" w:eastAsia="Times New Roman" w:hAnsi="Verdana" w:cs="Arial"/>
                <w:color w:val="000000"/>
                <w:kern w:val="0"/>
                <w:sz w:val="16"/>
                <w:szCs w:val="16"/>
                <w:lang w:eastAsia="es-CO"/>
                <w14:ligatures w14:val="none"/>
              </w:rPr>
              <w:t>A</w:t>
            </w:r>
            <w:proofErr w:type="gramEnd"/>
            <w:r w:rsidR="00427FB5" w:rsidRPr="009872A4">
              <w:rPr>
                <w:rFonts w:ascii="Verdana" w:eastAsia="Times New Roman" w:hAnsi="Verdana" w:cs="Arial"/>
                <w:color w:val="000000"/>
                <w:kern w:val="0"/>
                <w:sz w:val="16"/>
                <w:szCs w:val="16"/>
                <w:lang w:eastAsia="es-CO"/>
                <w14:ligatures w14:val="none"/>
              </w:rPr>
              <w:t>12.</w:t>
            </w:r>
            <w:r w:rsidR="001E00A9" w:rsidRPr="009872A4">
              <w:rPr>
                <w:rFonts w:ascii="Verdana" w:eastAsia="Times New Roman" w:hAnsi="Verdana" w:cs="Arial"/>
                <w:color w:val="000000"/>
                <w:kern w:val="0"/>
                <w:sz w:val="16"/>
                <w:szCs w:val="16"/>
                <w:lang w:eastAsia="es-CO"/>
                <w14:ligatures w14:val="none"/>
              </w:rPr>
              <w:t>13.</w:t>
            </w:r>
          </w:p>
        </w:tc>
        <w:tc>
          <w:tcPr>
            <w:tcW w:w="1017" w:type="dxa"/>
            <w:vAlign w:val="center"/>
            <w:hideMark/>
          </w:tcPr>
          <w:p w14:paraId="5C43971E" w14:textId="77777777" w:rsidR="00912847" w:rsidRPr="009872A4"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9872A4">
              <w:rPr>
                <w:rFonts w:ascii="Verdana" w:eastAsia="Times New Roman" w:hAnsi="Verdana" w:cs="Arial"/>
                <w:color w:val="000000"/>
                <w:kern w:val="0"/>
                <w:sz w:val="16"/>
                <w:szCs w:val="16"/>
                <w:lang w:eastAsia="es-CO"/>
                <w14:ligatures w14:val="none"/>
              </w:rPr>
              <w:t>0%*</w:t>
            </w:r>
          </w:p>
        </w:tc>
      </w:tr>
      <w:tr w:rsidR="00912847" w:rsidRPr="00912847" w14:paraId="6992BF61" w14:textId="77777777" w:rsidTr="688A6030">
        <w:trPr>
          <w:trHeight w:val="300"/>
        </w:trPr>
        <w:tc>
          <w:tcPr>
            <w:tcW w:w="885" w:type="dxa"/>
            <w:noWrap/>
            <w:vAlign w:val="center"/>
          </w:tcPr>
          <w:p w14:paraId="035AB39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11</w:t>
            </w:r>
          </w:p>
        </w:tc>
        <w:tc>
          <w:tcPr>
            <w:tcW w:w="6774" w:type="dxa"/>
            <w:vAlign w:val="center"/>
          </w:tcPr>
          <w:p w14:paraId="49A93C44" w14:textId="653B10E3"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w:t>
            </w:r>
            <w:r w:rsidR="00925AFF">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 xml:space="preserve">ntidades </w:t>
            </w:r>
            <w:r w:rsidR="00925AFF">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 xml:space="preserve">inancieras </w:t>
            </w:r>
            <w:r w:rsidR="00925AFF">
              <w:rPr>
                <w:rFonts w:ascii="Verdana" w:eastAsia="Times New Roman" w:hAnsi="Verdana" w:cs="Arial"/>
                <w:color w:val="000000"/>
                <w:kern w:val="0"/>
                <w:sz w:val="16"/>
                <w:szCs w:val="16"/>
                <w:lang w:eastAsia="es-CO"/>
                <w14:ligatures w14:val="none"/>
              </w:rPr>
              <w:t>v</w:t>
            </w:r>
            <w:r w:rsidRPr="00A4685E">
              <w:rPr>
                <w:rFonts w:ascii="Verdana" w:eastAsia="Times New Roman" w:hAnsi="Verdana" w:cs="Arial"/>
                <w:color w:val="000000"/>
                <w:kern w:val="0"/>
                <w:sz w:val="16"/>
                <w:szCs w:val="16"/>
                <w:lang w:eastAsia="es-CO"/>
                <w14:ligatures w14:val="none"/>
              </w:rPr>
              <w:t xml:space="preserve">igiladas (operativos) de acuerdo </w:t>
            </w:r>
            <w:r w:rsidR="001E00A9" w:rsidRPr="00A4685E">
              <w:rPr>
                <w:rFonts w:ascii="Verdana" w:eastAsia="Times New Roman" w:hAnsi="Verdana" w:cs="Arial"/>
                <w:color w:val="000000"/>
                <w:kern w:val="0"/>
                <w:sz w:val="16"/>
                <w:szCs w:val="16"/>
                <w:lang w:eastAsia="es-CO"/>
                <w14:ligatures w14:val="none"/>
              </w:rPr>
              <w:t xml:space="preserve">con el </w:t>
            </w:r>
            <w:r w:rsidR="001E00A9">
              <w:rPr>
                <w:rFonts w:ascii="Verdana" w:eastAsia="Times New Roman" w:hAnsi="Verdana" w:cs="Arial"/>
                <w:color w:val="000000" w:themeColor="text1"/>
                <w:sz w:val="16"/>
                <w:szCs w:val="16"/>
                <w:lang w:eastAsia="es-CO"/>
              </w:rPr>
              <w:t xml:space="preserve">párrafo </w:t>
            </w:r>
            <w:r w:rsidR="001E00A9">
              <w:rPr>
                <w:rFonts w:ascii="Verdana" w:eastAsia="Times New Roman" w:hAnsi="Verdana" w:cs="Arial"/>
                <w:color w:val="000000"/>
                <w:kern w:val="0"/>
                <w:sz w:val="16"/>
                <w:szCs w:val="16"/>
                <w:lang w:eastAsia="es-CO"/>
                <w14:ligatures w14:val="none"/>
              </w:rPr>
              <w:t>1.</w:t>
            </w:r>
            <w:proofErr w:type="gramStart"/>
            <w:r w:rsidR="001E00A9">
              <w:rPr>
                <w:rFonts w:ascii="Verdana" w:eastAsia="Times New Roman" w:hAnsi="Verdana" w:cs="Arial"/>
                <w:color w:val="000000"/>
                <w:kern w:val="0"/>
                <w:sz w:val="16"/>
                <w:szCs w:val="16"/>
                <w:lang w:eastAsia="es-CO"/>
                <w14:ligatures w14:val="none"/>
              </w:rPr>
              <w:t>1.A</w:t>
            </w:r>
            <w:proofErr w:type="gramEnd"/>
            <w:r w:rsidR="001E00A9">
              <w:rPr>
                <w:rFonts w:ascii="Verdana" w:eastAsia="Times New Roman" w:hAnsi="Verdana" w:cs="Arial"/>
                <w:color w:val="000000"/>
                <w:kern w:val="0"/>
                <w:sz w:val="16"/>
                <w:szCs w:val="16"/>
                <w:lang w:eastAsia="es-CO"/>
                <w14:ligatures w14:val="none"/>
              </w:rPr>
              <w:t>12.13.</w:t>
            </w:r>
          </w:p>
        </w:tc>
        <w:tc>
          <w:tcPr>
            <w:tcW w:w="1017" w:type="dxa"/>
            <w:vAlign w:val="center"/>
          </w:tcPr>
          <w:p w14:paraId="7C79D950"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2B43A36E" w14:textId="77777777" w:rsidTr="688A6030">
        <w:trPr>
          <w:trHeight w:val="300"/>
        </w:trPr>
        <w:tc>
          <w:tcPr>
            <w:tcW w:w="885" w:type="dxa"/>
            <w:noWrap/>
            <w:vAlign w:val="center"/>
          </w:tcPr>
          <w:p w14:paraId="3DC4ED0A"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12</w:t>
            </w:r>
          </w:p>
        </w:tc>
        <w:tc>
          <w:tcPr>
            <w:tcW w:w="6774" w:type="dxa"/>
            <w:vAlign w:val="center"/>
            <w:hideMark/>
          </w:tcPr>
          <w:p w14:paraId="46C67BB0" w14:textId="0CB455CA"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FIC </w:t>
            </w:r>
            <w:r w:rsidR="00925AFF">
              <w:rPr>
                <w:rFonts w:ascii="Verdana" w:eastAsia="Times New Roman" w:hAnsi="Verdana" w:cs="Arial"/>
                <w:color w:val="000000"/>
                <w:kern w:val="0"/>
                <w:sz w:val="16"/>
                <w:szCs w:val="16"/>
                <w:lang w:eastAsia="es-CO"/>
                <w14:ligatures w14:val="none"/>
              </w:rPr>
              <w:t>a</w:t>
            </w:r>
            <w:r w:rsidRPr="00A4685E">
              <w:rPr>
                <w:rFonts w:ascii="Verdana" w:eastAsia="Times New Roman" w:hAnsi="Verdana" w:cs="Arial"/>
                <w:color w:val="000000"/>
                <w:kern w:val="0"/>
                <w:sz w:val="16"/>
                <w:szCs w:val="16"/>
                <w:lang w:eastAsia="es-CO"/>
                <w14:ligatures w14:val="none"/>
              </w:rPr>
              <w:t xml:space="preserve">biertos sin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acto de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ermanencia (no operativos)</w:t>
            </w:r>
          </w:p>
        </w:tc>
        <w:tc>
          <w:tcPr>
            <w:tcW w:w="1017" w:type="dxa"/>
            <w:vAlign w:val="center"/>
            <w:hideMark/>
          </w:tcPr>
          <w:p w14:paraId="4783EDB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0%*</w:t>
            </w:r>
          </w:p>
        </w:tc>
      </w:tr>
      <w:tr w:rsidR="00912847" w:rsidRPr="00912847" w14:paraId="5A0BD90F" w14:textId="77777777" w:rsidTr="688A6030">
        <w:trPr>
          <w:trHeight w:val="300"/>
        </w:trPr>
        <w:tc>
          <w:tcPr>
            <w:tcW w:w="885" w:type="dxa"/>
            <w:noWrap/>
            <w:vAlign w:val="center"/>
          </w:tcPr>
          <w:p w14:paraId="5CE188E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13</w:t>
            </w:r>
          </w:p>
        </w:tc>
        <w:tc>
          <w:tcPr>
            <w:tcW w:w="6774" w:type="dxa"/>
            <w:vAlign w:val="center"/>
          </w:tcPr>
          <w:p w14:paraId="534DECDE" w14:textId="2365381F"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FIC </w:t>
            </w:r>
            <w:r w:rsidR="00925AFF">
              <w:rPr>
                <w:rFonts w:ascii="Verdana" w:eastAsia="Times New Roman" w:hAnsi="Verdana" w:cs="Arial"/>
                <w:color w:val="000000"/>
                <w:kern w:val="0"/>
                <w:sz w:val="16"/>
                <w:szCs w:val="16"/>
                <w:lang w:eastAsia="es-CO"/>
                <w14:ligatures w14:val="none"/>
              </w:rPr>
              <w:t>a</w:t>
            </w:r>
            <w:r w:rsidRPr="00A4685E">
              <w:rPr>
                <w:rFonts w:ascii="Verdana" w:eastAsia="Times New Roman" w:hAnsi="Verdana" w:cs="Arial"/>
                <w:color w:val="000000"/>
                <w:kern w:val="0"/>
                <w:sz w:val="16"/>
                <w:szCs w:val="16"/>
                <w:lang w:eastAsia="es-CO"/>
                <w14:ligatures w14:val="none"/>
              </w:rPr>
              <w:t xml:space="preserve">biertos sin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acto de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ermanencia (operativos)</w:t>
            </w:r>
          </w:p>
        </w:tc>
        <w:tc>
          <w:tcPr>
            <w:tcW w:w="1017" w:type="dxa"/>
            <w:vAlign w:val="center"/>
          </w:tcPr>
          <w:p w14:paraId="6F84F08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0F34DD39" w14:textId="77777777" w:rsidTr="688A6030">
        <w:trPr>
          <w:trHeight w:val="300"/>
        </w:trPr>
        <w:tc>
          <w:tcPr>
            <w:tcW w:w="885" w:type="dxa"/>
            <w:noWrap/>
            <w:vAlign w:val="center"/>
          </w:tcPr>
          <w:p w14:paraId="1392FDE0"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14</w:t>
            </w:r>
          </w:p>
        </w:tc>
        <w:tc>
          <w:tcPr>
            <w:tcW w:w="6774" w:type="dxa"/>
            <w:vAlign w:val="center"/>
            <w:hideMark/>
          </w:tcPr>
          <w:p w14:paraId="092243A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Depósitos a plazo (mayor o igual a 1 año)</w:t>
            </w:r>
          </w:p>
        </w:tc>
        <w:tc>
          <w:tcPr>
            <w:tcW w:w="1017" w:type="dxa"/>
            <w:vAlign w:val="center"/>
            <w:hideMark/>
          </w:tcPr>
          <w:p w14:paraId="028A503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100%</w:t>
            </w:r>
          </w:p>
        </w:tc>
      </w:tr>
      <w:tr w:rsidR="00912847" w:rsidRPr="00912847" w14:paraId="06B6EBDD" w14:textId="77777777" w:rsidTr="688A6030">
        <w:trPr>
          <w:trHeight w:val="300"/>
        </w:trPr>
        <w:tc>
          <w:tcPr>
            <w:tcW w:w="885" w:type="dxa"/>
            <w:noWrap/>
            <w:vAlign w:val="center"/>
          </w:tcPr>
          <w:p w14:paraId="7A179BD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lastRenderedPageBreak/>
              <w:t>15</w:t>
            </w:r>
          </w:p>
        </w:tc>
        <w:tc>
          <w:tcPr>
            <w:tcW w:w="6774" w:type="dxa"/>
            <w:vAlign w:val="center"/>
            <w:hideMark/>
          </w:tcPr>
          <w:p w14:paraId="76C35B0D" w14:textId="50FDCCD5"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(menor a 6 meses) de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inoristas</w:t>
            </w:r>
          </w:p>
        </w:tc>
        <w:tc>
          <w:tcPr>
            <w:tcW w:w="1017" w:type="dxa"/>
            <w:vAlign w:val="center"/>
            <w:hideMark/>
          </w:tcPr>
          <w:p w14:paraId="3F8905F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14E5BDE2" w14:textId="77777777" w:rsidTr="688A6030">
        <w:trPr>
          <w:trHeight w:val="300"/>
        </w:trPr>
        <w:tc>
          <w:tcPr>
            <w:tcW w:w="885" w:type="dxa"/>
            <w:noWrap/>
            <w:vAlign w:val="center"/>
          </w:tcPr>
          <w:p w14:paraId="32833EEC"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16</w:t>
            </w:r>
          </w:p>
        </w:tc>
        <w:tc>
          <w:tcPr>
            <w:tcW w:w="6774" w:type="dxa"/>
            <w:vAlign w:val="center"/>
            <w:hideMark/>
          </w:tcPr>
          <w:p w14:paraId="7011C211" w14:textId="33B42D73"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(menor a 6 meses) de PYMES y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ersonas </w:t>
            </w:r>
            <w:r w:rsidR="00925AFF">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aturales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edianas</w:t>
            </w:r>
          </w:p>
        </w:tc>
        <w:tc>
          <w:tcPr>
            <w:tcW w:w="1017" w:type="dxa"/>
            <w:vAlign w:val="center"/>
            <w:hideMark/>
          </w:tcPr>
          <w:p w14:paraId="744EFA50"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126003E3" w14:textId="77777777" w:rsidTr="688A6030">
        <w:trPr>
          <w:trHeight w:val="300"/>
        </w:trPr>
        <w:tc>
          <w:tcPr>
            <w:tcW w:w="885" w:type="dxa"/>
            <w:noWrap/>
            <w:vAlign w:val="center"/>
          </w:tcPr>
          <w:p w14:paraId="4CB2537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17</w:t>
            </w:r>
          </w:p>
        </w:tc>
        <w:tc>
          <w:tcPr>
            <w:tcW w:w="6774" w:type="dxa"/>
            <w:vAlign w:val="center"/>
            <w:hideMark/>
          </w:tcPr>
          <w:p w14:paraId="70386680" w14:textId="1D9E2C8A"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(mayor o igual a 6 meses y menor a 1 año) de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inoristas</w:t>
            </w:r>
          </w:p>
        </w:tc>
        <w:tc>
          <w:tcPr>
            <w:tcW w:w="1017" w:type="dxa"/>
            <w:vAlign w:val="center"/>
            <w:hideMark/>
          </w:tcPr>
          <w:p w14:paraId="3EC122C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0197C18A" w14:textId="77777777" w:rsidTr="688A6030">
        <w:trPr>
          <w:trHeight w:val="300"/>
        </w:trPr>
        <w:tc>
          <w:tcPr>
            <w:tcW w:w="885" w:type="dxa"/>
            <w:noWrap/>
            <w:vAlign w:val="center"/>
          </w:tcPr>
          <w:p w14:paraId="0881DBE8"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18</w:t>
            </w:r>
          </w:p>
        </w:tc>
        <w:tc>
          <w:tcPr>
            <w:tcW w:w="6774" w:type="dxa"/>
            <w:vAlign w:val="center"/>
            <w:hideMark/>
          </w:tcPr>
          <w:p w14:paraId="78DE0ED9" w14:textId="0266974C"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(mayor o igual a 6 meses y menor a 1 año) de PYMES y </w:t>
            </w:r>
            <w:r w:rsidR="00925AFF">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ersonas </w:t>
            </w:r>
            <w:r w:rsidR="00925AFF">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aturales </w:t>
            </w:r>
            <w:r w:rsidR="00925AFF">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edianas</w:t>
            </w:r>
          </w:p>
        </w:tc>
        <w:tc>
          <w:tcPr>
            <w:tcW w:w="1017" w:type="dxa"/>
            <w:vAlign w:val="center"/>
            <w:hideMark/>
          </w:tcPr>
          <w:p w14:paraId="79EC842E"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78D02D06" w14:textId="77777777" w:rsidTr="688A6030">
        <w:trPr>
          <w:trHeight w:val="300"/>
        </w:trPr>
        <w:tc>
          <w:tcPr>
            <w:tcW w:w="885" w:type="dxa"/>
            <w:noWrap/>
            <w:vAlign w:val="center"/>
          </w:tcPr>
          <w:p w14:paraId="35E8831B"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19</w:t>
            </w:r>
          </w:p>
        </w:tc>
        <w:tc>
          <w:tcPr>
            <w:tcW w:w="6774" w:type="dxa"/>
            <w:vAlign w:val="center"/>
            <w:hideMark/>
          </w:tcPr>
          <w:p w14:paraId="33FA7096" w14:textId="025E5366"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(menor a 6 meses) de </w:t>
            </w:r>
            <w:r w:rsidR="00782752">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ayoristas </w:t>
            </w:r>
            <w:r w:rsidR="00782752">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ector </w:t>
            </w:r>
            <w:r w:rsidR="00782752">
              <w:rPr>
                <w:rFonts w:ascii="Verdana" w:eastAsia="Times New Roman" w:hAnsi="Verdana" w:cs="Arial"/>
                <w:color w:val="000000"/>
                <w:kern w:val="0"/>
                <w:sz w:val="16"/>
                <w:szCs w:val="16"/>
                <w:lang w:eastAsia="es-CO"/>
                <w14:ligatures w14:val="none"/>
              </w:rPr>
              <w:t>r</w:t>
            </w:r>
            <w:r w:rsidRPr="00A4685E">
              <w:rPr>
                <w:rFonts w:ascii="Verdana" w:eastAsia="Times New Roman" w:hAnsi="Verdana" w:cs="Arial"/>
                <w:color w:val="000000"/>
                <w:kern w:val="0"/>
                <w:sz w:val="16"/>
                <w:szCs w:val="16"/>
                <w:lang w:eastAsia="es-CO"/>
                <w14:ligatures w14:val="none"/>
              </w:rPr>
              <w:t xml:space="preserve">eal y </w:t>
            </w:r>
            <w:r w:rsidR="00782752">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ersonas </w:t>
            </w:r>
            <w:r w:rsidR="00782752">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aturales </w:t>
            </w:r>
            <w:r w:rsidR="00782752">
              <w:rPr>
                <w:rFonts w:ascii="Verdana" w:eastAsia="Times New Roman" w:hAnsi="Verdana" w:cs="Arial"/>
                <w:color w:val="000000"/>
                <w:kern w:val="0"/>
                <w:sz w:val="16"/>
                <w:szCs w:val="16"/>
                <w:lang w:eastAsia="es-CO"/>
                <w14:ligatures w14:val="none"/>
              </w:rPr>
              <w:t>g</w:t>
            </w:r>
            <w:r w:rsidRPr="00A4685E">
              <w:rPr>
                <w:rFonts w:ascii="Verdana" w:eastAsia="Times New Roman" w:hAnsi="Verdana" w:cs="Arial"/>
                <w:color w:val="000000"/>
                <w:kern w:val="0"/>
                <w:sz w:val="16"/>
                <w:szCs w:val="16"/>
                <w:lang w:eastAsia="es-CO"/>
                <w14:ligatures w14:val="none"/>
              </w:rPr>
              <w:t>randes</w:t>
            </w:r>
          </w:p>
        </w:tc>
        <w:tc>
          <w:tcPr>
            <w:tcW w:w="1017" w:type="dxa"/>
            <w:vAlign w:val="center"/>
            <w:hideMark/>
          </w:tcPr>
          <w:p w14:paraId="29BDFE4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90%</w:t>
            </w:r>
          </w:p>
        </w:tc>
      </w:tr>
      <w:tr w:rsidR="00912847" w:rsidRPr="00912847" w14:paraId="2BDF3847" w14:textId="77777777" w:rsidTr="688A6030">
        <w:trPr>
          <w:trHeight w:val="300"/>
        </w:trPr>
        <w:tc>
          <w:tcPr>
            <w:tcW w:w="885" w:type="dxa"/>
            <w:noWrap/>
            <w:vAlign w:val="center"/>
          </w:tcPr>
          <w:p w14:paraId="655C337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20</w:t>
            </w:r>
          </w:p>
        </w:tc>
        <w:tc>
          <w:tcPr>
            <w:tcW w:w="6774" w:type="dxa"/>
            <w:vAlign w:val="center"/>
            <w:hideMark/>
          </w:tcPr>
          <w:p w14:paraId="1D2F58D7" w14:textId="5A78126E"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(mayor o igual a 6 meses y menor a 1 año) de </w:t>
            </w:r>
            <w:r w:rsidR="00782752">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ayoristas </w:t>
            </w:r>
            <w:r w:rsidR="00782752">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ector </w:t>
            </w:r>
            <w:r w:rsidR="00782752">
              <w:rPr>
                <w:rFonts w:ascii="Verdana" w:eastAsia="Times New Roman" w:hAnsi="Verdana" w:cs="Arial"/>
                <w:color w:val="000000"/>
                <w:kern w:val="0"/>
                <w:sz w:val="16"/>
                <w:szCs w:val="16"/>
                <w:lang w:eastAsia="es-CO"/>
                <w14:ligatures w14:val="none"/>
              </w:rPr>
              <w:t>r</w:t>
            </w:r>
            <w:r w:rsidRPr="00A4685E">
              <w:rPr>
                <w:rFonts w:ascii="Verdana" w:eastAsia="Times New Roman" w:hAnsi="Verdana" w:cs="Arial"/>
                <w:color w:val="000000"/>
                <w:kern w:val="0"/>
                <w:sz w:val="16"/>
                <w:szCs w:val="16"/>
                <w:lang w:eastAsia="es-CO"/>
                <w14:ligatures w14:val="none"/>
              </w:rPr>
              <w:t xml:space="preserve">eal y </w:t>
            </w:r>
            <w:r w:rsidR="00782752">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ersonas </w:t>
            </w:r>
            <w:r w:rsidR="00782752">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aturales </w:t>
            </w:r>
            <w:r w:rsidR="00782752">
              <w:rPr>
                <w:rFonts w:ascii="Verdana" w:eastAsia="Times New Roman" w:hAnsi="Verdana" w:cs="Arial"/>
                <w:color w:val="000000"/>
                <w:kern w:val="0"/>
                <w:sz w:val="16"/>
                <w:szCs w:val="16"/>
                <w:lang w:eastAsia="es-CO"/>
                <w14:ligatures w14:val="none"/>
              </w:rPr>
              <w:t>g</w:t>
            </w:r>
            <w:r w:rsidRPr="00A4685E">
              <w:rPr>
                <w:rFonts w:ascii="Verdana" w:eastAsia="Times New Roman" w:hAnsi="Verdana" w:cs="Arial"/>
                <w:color w:val="000000"/>
                <w:kern w:val="0"/>
                <w:sz w:val="16"/>
                <w:szCs w:val="16"/>
                <w:lang w:eastAsia="es-CO"/>
                <w14:ligatures w14:val="none"/>
              </w:rPr>
              <w:t>randes</w:t>
            </w:r>
          </w:p>
        </w:tc>
        <w:tc>
          <w:tcPr>
            <w:tcW w:w="1017" w:type="dxa"/>
            <w:vAlign w:val="center"/>
            <w:hideMark/>
          </w:tcPr>
          <w:p w14:paraId="3C6FE63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90%</w:t>
            </w:r>
          </w:p>
        </w:tc>
      </w:tr>
      <w:tr w:rsidR="00912847" w:rsidRPr="00912847" w14:paraId="665437D2" w14:textId="77777777" w:rsidTr="688A6030">
        <w:trPr>
          <w:trHeight w:val="300"/>
        </w:trPr>
        <w:tc>
          <w:tcPr>
            <w:tcW w:w="885" w:type="dxa"/>
            <w:noWrap/>
            <w:vAlign w:val="center"/>
          </w:tcPr>
          <w:p w14:paraId="2D7EB80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21</w:t>
            </w:r>
          </w:p>
        </w:tc>
        <w:tc>
          <w:tcPr>
            <w:tcW w:w="6774" w:type="dxa"/>
            <w:vAlign w:val="center"/>
            <w:hideMark/>
          </w:tcPr>
          <w:p w14:paraId="71670C9B" w14:textId="4BB83576"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(menor a 6 meses) de </w:t>
            </w:r>
            <w:r w:rsidR="00782752">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ector </w:t>
            </w:r>
            <w:r w:rsidR="00782752">
              <w:rPr>
                <w:rFonts w:ascii="Verdana" w:eastAsia="Times New Roman" w:hAnsi="Verdana" w:cs="Arial"/>
                <w:color w:val="000000"/>
                <w:kern w:val="0"/>
                <w:sz w:val="16"/>
                <w:szCs w:val="16"/>
                <w:lang w:eastAsia="es-CO"/>
                <w14:ligatures w14:val="none"/>
              </w:rPr>
              <w:t>g</w:t>
            </w:r>
            <w:r w:rsidRPr="00A4685E">
              <w:rPr>
                <w:rFonts w:ascii="Verdana" w:eastAsia="Times New Roman" w:hAnsi="Verdana" w:cs="Arial"/>
                <w:color w:val="000000"/>
                <w:kern w:val="0"/>
                <w:sz w:val="16"/>
                <w:szCs w:val="16"/>
                <w:lang w:eastAsia="es-CO"/>
                <w14:ligatures w14:val="none"/>
              </w:rPr>
              <w:t xml:space="preserve">obierno </w:t>
            </w:r>
            <w:r w:rsidR="00782752">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o </w:t>
            </w:r>
            <w:r w:rsidR="00782752">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inanciero</w:t>
            </w:r>
          </w:p>
        </w:tc>
        <w:tc>
          <w:tcPr>
            <w:tcW w:w="1017" w:type="dxa"/>
            <w:vAlign w:val="center"/>
            <w:hideMark/>
          </w:tcPr>
          <w:p w14:paraId="195B8043"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38568FCF" w14:textId="77777777" w:rsidTr="688A6030">
        <w:trPr>
          <w:trHeight w:val="300"/>
        </w:trPr>
        <w:tc>
          <w:tcPr>
            <w:tcW w:w="885" w:type="dxa"/>
            <w:noWrap/>
            <w:vAlign w:val="center"/>
          </w:tcPr>
          <w:p w14:paraId="47EE56F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22</w:t>
            </w:r>
          </w:p>
        </w:tc>
        <w:tc>
          <w:tcPr>
            <w:tcW w:w="6774" w:type="dxa"/>
            <w:vAlign w:val="center"/>
            <w:hideMark/>
          </w:tcPr>
          <w:p w14:paraId="1D8A4BB9" w14:textId="4A08A689"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(mayor o igual a 6 meses y menor a 1 año) de </w:t>
            </w:r>
            <w:r w:rsidR="00782752">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ector </w:t>
            </w:r>
            <w:r w:rsidR="00782752">
              <w:rPr>
                <w:rFonts w:ascii="Verdana" w:eastAsia="Times New Roman" w:hAnsi="Verdana" w:cs="Arial"/>
                <w:color w:val="000000"/>
                <w:kern w:val="0"/>
                <w:sz w:val="16"/>
                <w:szCs w:val="16"/>
                <w:lang w:eastAsia="es-CO"/>
                <w14:ligatures w14:val="none"/>
              </w:rPr>
              <w:t>g</w:t>
            </w:r>
            <w:r w:rsidRPr="00A4685E">
              <w:rPr>
                <w:rFonts w:ascii="Verdana" w:eastAsia="Times New Roman" w:hAnsi="Verdana" w:cs="Arial"/>
                <w:color w:val="000000"/>
                <w:kern w:val="0"/>
                <w:sz w:val="16"/>
                <w:szCs w:val="16"/>
                <w:lang w:eastAsia="es-CO"/>
                <w14:ligatures w14:val="none"/>
              </w:rPr>
              <w:t xml:space="preserve">obierno </w:t>
            </w:r>
            <w:r w:rsidR="00782752">
              <w:rPr>
                <w:rFonts w:ascii="Verdana" w:eastAsia="Times New Roman" w:hAnsi="Verdana" w:cs="Arial"/>
                <w:color w:val="000000"/>
                <w:kern w:val="0"/>
                <w:sz w:val="16"/>
                <w:szCs w:val="16"/>
                <w:lang w:eastAsia="es-CO"/>
                <w14:ligatures w14:val="none"/>
              </w:rPr>
              <w:t>n</w:t>
            </w:r>
            <w:r w:rsidRPr="00A4685E">
              <w:rPr>
                <w:rFonts w:ascii="Verdana" w:eastAsia="Times New Roman" w:hAnsi="Verdana" w:cs="Arial"/>
                <w:color w:val="000000"/>
                <w:kern w:val="0"/>
                <w:sz w:val="16"/>
                <w:szCs w:val="16"/>
                <w:lang w:eastAsia="es-CO"/>
                <w14:ligatures w14:val="none"/>
              </w:rPr>
              <w:t xml:space="preserve">o </w:t>
            </w:r>
            <w:r w:rsidR="00782752">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inanciero</w:t>
            </w:r>
          </w:p>
        </w:tc>
        <w:tc>
          <w:tcPr>
            <w:tcW w:w="1017" w:type="dxa"/>
            <w:vAlign w:val="center"/>
            <w:hideMark/>
          </w:tcPr>
          <w:p w14:paraId="5D87A876"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0CD20CEA" w14:textId="77777777" w:rsidTr="688A6030">
        <w:trPr>
          <w:trHeight w:val="300"/>
        </w:trPr>
        <w:tc>
          <w:tcPr>
            <w:tcW w:w="885" w:type="dxa"/>
            <w:noWrap/>
            <w:vAlign w:val="center"/>
          </w:tcPr>
          <w:p w14:paraId="6BD7C2FA"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23</w:t>
            </w:r>
          </w:p>
        </w:tc>
        <w:tc>
          <w:tcPr>
            <w:tcW w:w="6774" w:type="dxa"/>
            <w:vAlign w:val="center"/>
            <w:hideMark/>
          </w:tcPr>
          <w:p w14:paraId="4F5FD54C" w14:textId="2D3385A6"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(mayor o igual a 6 meses y menor a 1 año) de </w:t>
            </w:r>
            <w:r w:rsidR="00782752">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ayoristas </w:t>
            </w:r>
            <w:r w:rsidR="00782752">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xtranjeros</w:t>
            </w:r>
          </w:p>
        </w:tc>
        <w:tc>
          <w:tcPr>
            <w:tcW w:w="1017" w:type="dxa"/>
            <w:vAlign w:val="center"/>
            <w:hideMark/>
          </w:tcPr>
          <w:p w14:paraId="2A86B4C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4492BB55" w14:textId="77777777" w:rsidTr="688A6030">
        <w:trPr>
          <w:trHeight w:val="300"/>
        </w:trPr>
        <w:tc>
          <w:tcPr>
            <w:tcW w:w="885" w:type="dxa"/>
            <w:noWrap/>
            <w:vAlign w:val="center"/>
          </w:tcPr>
          <w:p w14:paraId="71461F95"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24</w:t>
            </w:r>
          </w:p>
        </w:tc>
        <w:tc>
          <w:tcPr>
            <w:tcW w:w="6774" w:type="dxa"/>
            <w:vAlign w:val="center"/>
            <w:hideMark/>
          </w:tcPr>
          <w:p w14:paraId="2A368846" w14:textId="140EF96D"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(mayor o igual a 6 meses y menor a 1 año) de </w:t>
            </w:r>
            <w:r w:rsidR="002C2900">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 xml:space="preserve">ntidades </w:t>
            </w:r>
            <w:r w:rsidR="002C2900">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 xml:space="preserve">inancieras </w:t>
            </w:r>
            <w:r w:rsidR="002C2900">
              <w:rPr>
                <w:rFonts w:ascii="Verdana" w:eastAsia="Times New Roman" w:hAnsi="Verdana" w:cs="Arial"/>
                <w:color w:val="000000"/>
                <w:kern w:val="0"/>
                <w:sz w:val="16"/>
                <w:szCs w:val="16"/>
                <w:lang w:eastAsia="es-CO"/>
                <w14:ligatures w14:val="none"/>
              </w:rPr>
              <w:t>v</w:t>
            </w:r>
            <w:r w:rsidRPr="00A4685E">
              <w:rPr>
                <w:rFonts w:ascii="Verdana" w:eastAsia="Times New Roman" w:hAnsi="Verdana" w:cs="Arial"/>
                <w:color w:val="000000"/>
                <w:kern w:val="0"/>
                <w:sz w:val="16"/>
                <w:szCs w:val="16"/>
                <w:lang w:eastAsia="es-CO"/>
                <w14:ligatures w14:val="none"/>
              </w:rPr>
              <w:t xml:space="preserve">igiladas de acuerdo </w:t>
            </w:r>
            <w:r w:rsidR="00A04DA7" w:rsidRPr="00A4685E">
              <w:rPr>
                <w:rFonts w:ascii="Verdana" w:eastAsia="Times New Roman" w:hAnsi="Verdana" w:cs="Arial"/>
                <w:color w:val="000000"/>
                <w:kern w:val="0"/>
                <w:sz w:val="16"/>
                <w:szCs w:val="16"/>
                <w:lang w:eastAsia="es-CO"/>
                <w14:ligatures w14:val="none"/>
              </w:rPr>
              <w:t xml:space="preserve">con el </w:t>
            </w:r>
            <w:r w:rsidR="00A04DA7">
              <w:rPr>
                <w:rFonts w:ascii="Verdana" w:eastAsia="Times New Roman" w:hAnsi="Verdana" w:cs="Arial"/>
                <w:color w:val="000000" w:themeColor="text1"/>
                <w:sz w:val="16"/>
                <w:szCs w:val="16"/>
                <w:lang w:eastAsia="es-CO"/>
              </w:rPr>
              <w:t xml:space="preserve">párrafo </w:t>
            </w:r>
            <w:r w:rsidR="00A04DA7">
              <w:rPr>
                <w:rFonts w:ascii="Verdana" w:eastAsia="Times New Roman" w:hAnsi="Verdana" w:cs="Arial"/>
                <w:color w:val="000000"/>
                <w:kern w:val="0"/>
                <w:sz w:val="16"/>
                <w:szCs w:val="16"/>
                <w:lang w:eastAsia="es-CO"/>
                <w14:ligatures w14:val="none"/>
              </w:rPr>
              <w:t>1.</w:t>
            </w:r>
            <w:proofErr w:type="gramStart"/>
            <w:r w:rsidR="00A04DA7">
              <w:rPr>
                <w:rFonts w:ascii="Verdana" w:eastAsia="Times New Roman" w:hAnsi="Verdana" w:cs="Arial"/>
                <w:color w:val="000000"/>
                <w:kern w:val="0"/>
                <w:sz w:val="16"/>
                <w:szCs w:val="16"/>
                <w:lang w:eastAsia="es-CO"/>
                <w14:ligatures w14:val="none"/>
              </w:rPr>
              <w:t>1.A</w:t>
            </w:r>
            <w:proofErr w:type="gramEnd"/>
            <w:r w:rsidR="00A04DA7">
              <w:rPr>
                <w:rFonts w:ascii="Verdana" w:eastAsia="Times New Roman" w:hAnsi="Verdana" w:cs="Arial"/>
                <w:color w:val="000000"/>
                <w:kern w:val="0"/>
                <w:sz w:val="16"/>
                <w:szCs w:val="16"/>
                <w:lang w:eastAsia="es-CO"/>
                <w14:ligatures w14:val="none"/>
              </w:rPr>
              <w:t>12.14.</w:t>
            </w:r>
          </w:p>
        </w:tc>
        <w:tc>
          <w:tcPr>
            <w:tcW w:w="1017" w:type="dxa"/>
            <w:vAlign w:val="center"/>
            <w:hideMark/>
          </w:tcPr>
          <w:p w14:paraId="0916A3B3"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6EC78663" w14:textId="77777777" w:rsidTr="688A6030">
        <w:trPr>
          <w:trHeight w:val="300"/>
        </w:trPr>
        <w:tc>
          <w:tcPr>
            <w:tcW w:w="885" w:type="dxa"/>
            <w:noWrap/>
            <w:vAlign w:val="center"/>
          </w:tcPr>
          <w:p w14:paraId="4C29734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25</w:t>
            </w:r>
          </w:p>
        </w:tc>
        <w:tc>
          <w:tcPr>
            <w:tcW w:w="6774" w:type="dxa"/>
            <w:vAlign w:val="center"/>
            <w:hideMark/>
          </w:tcPr>
          <w:p w14:paraId="6D389554" w14:textId="62003C78"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(mayor o igual a 6 meses y menor a 1 año) de FIC </w:t>
            </w:r>
            <w:r w:rsidR="002C2900">
              <w:rPr>
                <w:rFonts w:ascii="Verdana" w:eastAsia="Times New Roman" w:hAnsi="Verdana" w:cs="Arial"/>
                <w:color w:val="000000"/>
                <w:kern w:val="0"/>
                <w:sz w:val="16"/>
                <w:szCs w:val="16"/>
                <w:lang w:eastAsia="es-CO"/>
                <w14:ligatures w14:val="none"/>
              </w:rPr>
              <w:t>a</w:t>
            </w:r>
            <w:r w:rsidRPr="00A4685E">
              <w:rPr>
                <w:rFonts w:ascii="Verdana" w:eastAsia="Times New Roman" w:hAnsi="Verdana" w:cs="Arial"/>
                <w:color w:val="000000"/>
                <w:kern w:val="0"/>
                <w:sz w:val="16"/>
                <w:szCs w:val="16"/>
                <w:lang w:eastAsia="es-CO"/>
                <w14:ligatures w14:val="none"/>
              </w:rPr>
              <w:t xml:space="preserve">biertos sin </w:t>
            </w:r>
            <w:r w:rsidR="002C2900">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acto de </w:t>
            </w:r>
            <w:r w:rsidR="002C2900">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ermanencia</w:t>
            </w:r>
          </w:p>
        </w:tc>
        <w:tc>
          <w:tcPr>
            <w:tcW w:w="1017" w:type="dxa"/>
            <w:vAlign w:val="center"/>
            <w:hideMark/>
          </w:tcPr>
          <w:p w14:paraId="2EC5A13E"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7FBC4D6F" w14:textId="77777777" w:rsidTr="688A6030">
        <w:trPr>
          <w:trHeight w:val="300"/>
        </w:trPr>
        <w:tc>
          <w:tcPr>
            <w:tcW w:w="885" w:type="dxa"/>
            <w:noWrap/>
            <w:vAlign w:val="center"/>
          </w:tcPr>
          <w:p w14:paraId="777B6D03"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26</w:t>
            </w:r>
          </w:p>
        </w:tc>
        <w:tc>
          <w:tcPr>
            <w:tcW w:w="6774" w:type="dxa"/>
            <w:vAlign w:val="center"/>
            <w:hideMark/>
          </w:tcPr>
          <w:p w14:paraId="5511FF67" w14:textId="056DE716"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(menor a 6 meses) de </w:t>
            </w:r>
            <w:r w:rsidR="002C2900">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ayoristas </w:t>
            </w:r>
            <w:r w:rsidR="002C2900">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xtranjeros</w:t>
            </w:r>
          </w:p>
        </w:tc>
        <w:tc>
          <w:tcPr>
            <w:tcW w:w="1017" w:type="dxa"/>
            <w:vAlign w:val="center"/>
            <w:hideMark/>
          </w:tcPr>
          <w:p w14:paraId="2E80013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25%</w:t>
            </w:r>
          </w:p>
        </w:tc>
      </w:tr>
      <w:tr w:rsidR="00912847" w:rsidRPr="00912847" w14:paraId="50489DAC" w14:textId="77777777" w:rsidTr="688A6030">
        <w:trPr>
          <w:trHeight w:val="300"/>
        </w:trPr>
        <w:tc>
          <w:tcPr>
            <w:tcW w:w="885" w:type="dxa"/>
            <w:noWrap/>
            <w:vAlign w:val="center"/>
          </w:tcPr>
          <w:p w14:paraId="75F3981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27</w:t>
            </w:r>
          </w:p>
        </w:tc>
        <w:tc>
          <w:tcPr>
            <w:tcW w:w="6774" w:type="dxa"/>
            <w:vAlign w:val="center"/>
            <w:hideMark/>
          </w:tcPr>
          <w:p w14:paraId="1D1E21BE" w14:textId="61E122C8"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(menor a 6 meses) de </w:t>
            </w:r>
            <w:r w:rsidR="002C2900">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 xml:space="preserve">ntidades </w:t>
            </w:r>
            <w:r w:rsidR="002C2900">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 xml:space="preserve">inancieras </w:t>
            </w:r>
            <w:r w:rsidR="002C2900">
              <w:rPr>
                <w:rFonts w:ascii="Verdana" w:eastAsia="Times New Roman" w:hAnsi="Verdana" w:cs="Arial"/>
                <w:color w:val="000000"/>
                <w:kern w:val="0"/>
                <w:sz w:val="16"/>
                <w:szCs w:val="16"/>
                <w:lang w:eastAsia="es-CO"/>
                <w14:ligatures w14:val="none"/>
              </w:rPr>
              <w:t>v</w:t>
            </w:r>
            <w:r w:rsidRPr="00A4685E">
              <w:rPr>
                <w:rFonts w:ascii="Verdana" w:eastAsia="Times New Roman" w:hAnsi="Verdana" w:cs="Arial"/>
                <w:color w:val="000000"/>
                <w:kern w:val="0"/>
                <w:sz w:val="16"/>
                <w:szCs w:val="16"/>
                <w:lang w:eastAsia="es-CO"/>
                <w14:ligatures w14:val="none"/>
              </w:rPr>
              <w:t xml:space="preserve">igiladas de acuerdo </w:t>
            </w:r>
            <w:r w:rsidR="00A04DA7" w:rsidRPr="00A4685E">
              <w:rPr>
                <w:rFonts w:ascii="Verdana" w:eastAsia="Times New Roman" w:hAnsi="Verdana" w:cs="Arial"/>
                <w:color w:val="000000"/>
                <w:kern w:val="0"/>
                <w:sz w:val="16"/>
                <w:szCs w:val="16"/>
                <w:lang w:eastAsia="es-CO"/>
                <w14:ligatures w14:val="none"/>
              </w:rPr>
              <w:t xml:space="preserve">con el </w:t>
            </w:r>
            <w:r w:rsidR="00A04DA7">
              <w:rPr>
                <w:rFonts w:ascii="Verdana" w:eastAsia="Times New Roman" w:hAnsi="Verdana" w:cs="Arial"/>
                <w:color w:val="000000" w:themeColor="text1"/>
                <w:sz w:val="16"/>
                <w:szCs w:val="16"/>
                <w:lang w:eastAsia="es-CO"/>
              </w:rPr>
              <w:t xml:space="preserve">párrafo </w:t>
            </w:r>
            <w:r w:rsidR="00A04DA7">
              <w:rPr>
                <w:rFonts w:ascii="Verdana" w:eastAsia="Times New Roman" w:hAnsi="Verdana" w:cs="Arial"/>
                <w:color w:val="000000"/>
                <w:kern w:val="0"/>
                <w:sz w:val="16"/>
                <w:szCs w:val="16"/>
                <w:lang w:eastAsia="es-CO"/>
                <w14:ligatures w14:val="none"/>
              </w:rPr>
              <w:t>1.</w:t>
            </w:r>
            <w:proofErr w:type="gramStart"/>
            <w:r w:rsidR="00A04DA7">
              <w:rPr>
                <w:rFonts w:ascii="Verdana" w:eastAsia="Times New Roman" w:hAnsi="Verdana" w:cs="Arial"/>
                <w:color w:val="000000"/>
                <w:kern w:val="0"/>
                <w:sz w:val="16"/>
                <w:szCs w:val="16"/>
                <w:lang w:eastAsia="es-CO"/>
                <w14:ligatures w14:val="none"/>
              </w:rPr>
              <w:t>1.A</w:t>
            </w:r>
            <w:proofErr w:type="gramEnd"/>
            <w:r w:rsidR="00A04DA7">
              <w:rPr>
                <w:rFonts w:ascii="Verdana" w:eastAsia="Times New Roman" w:hAnsi="Verdana" w:cs="Arial"/>
                <w:color w:val="000000"/>
                <w:kern w:val="0"/>
                <w:sz w:val="16"/>
                <w:szCs w:val="16"/>
                <w:lang w:eastAsia="es-CO"/>
                <w14:ligatures w14:val="none"/>
              </w:rPr>
              <w:t>12.14.</w:t>
            </w:r>
          </w:p>
        </w:tc>
        <w:tc>
          <w:tcPr>
            <w:tcW w:w="1017" w:type="dxa"/>
            <w:vAlign w:val="center"/>
            <w:hideMark/>
          </w:tcPr>
          <w:p w14:paraId="28012DD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5D148927" w14:textId="77777777" w:rsidTr="688A6030">
        <w:trPr>
          <w:trHeight w:val="300"/>
        </w:trPr>
        <w:tc>
          <w:tcPr>
            <w:tcW w:w="885" w:type="dxa"/>
            <w:noWrap/>
            <w:vAlign w:val="center"/>
          </w:tcPr>
          <w:p w14:paraId="0CD5A00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28</w:t>
            </w:r>
          </w:p>
        </w:tc>
        <w:tc>
          <w:tcPr>
            <w:tcW w:w="6774" w:type="dxa"/>
            <w:vAlign w:val="center"/>
            <w:hideMark/>
          </w:tcPr>
          <w:p w14:paraId="7A6936DB" w14:textId="2A58D81C"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plazo (menor a 6 meses) de FIC </w:t>
            </w:r>
            <w:r w:rsidR="002C2900">
              <w:rPr>
                <w:rFonts w:ascii="Verdana" w:eastAsia="Times New Roman" w:hAnsi="Verdana" w:cs="Arial"/>
                <w:color w:val="000000"/>
                <w:kern w:val="0"/>
                <w:sz w:val="16"/>
                <w:szCs w:val="16"/>
                <w:lang w:eastAsia="es-CO"/>
                <w14:ligatures w14:val="none"/>
              </w:rPr>
              <w:t>a</w:t>
            </w:r>
            <w:r w:rsidRPr="00A4685E">
              <w:rPr>
                <w:rFonts w:ascii="Verdana" w:eastAsia="Times New Roman" w:hAnsi="Verdana" w:cs="Arial"/>
                <w:color w:val="000000"/>
                <w:kern w:val="0"/>
                <w:sz w:val="16"/>
                <w:szCs w:val="16"/>
                <w:lang w:eastAsia="es-CO"/>
                <w14:ligatures w14:val="none"/>
              </w:rPr>
              <w:t xml:space="preserve">biertos sin </w:t>
            </w:r>
            <w:r w:rsidR="002C2900">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acto de </w:t>
            </w:r>
            <w:r w:rsidR="002C2900">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ermanencia</w:t>
            </w:r>
          </w:p>
        </w:tc>
        <w:tc>
          <w:tcPr>
            <w:tcW w:w="1017" w:type="dxa"/>
            <w:vAlign w:val="center"/>
            <w:hideMark/>
          </w:tcPr>
          <w:p w14:paraId="316A7B9A"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25%</w:t>
            </w:r>
          </w:p>
        </w:tc>
      </w:tr>
      <w:tr w:rsidR="00912847" w:rsidRPr="00912847" w14:paraId="7643A2FC" w14:textId="77777777" w:rsidTr="688A6030">
        <w:trPr>
          <w:trHeight w:val="300"/>
        </w:trPr>
        <w:tc>
          <w:tcPr>
            <w:tcW w:w="885" w:type="dxa"/>
            <w:noWrap/>
            <w:vAlign w:val="center"/>
          </w:tcPr>
          <w:p w14:paraId="77DE7E9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29</w:t>
            </w:r>
          </w:p>
        </w:tc>
        <w:tc>
          <w:tcPr>
            <w:tcW w:w="6774" w:type="dxa"/>
            <w:vAlign w:val="center"/>
            <w:hideMark/>
          </w:tcPr>
          <w:p w14:paraId="2DAAAC5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Bonos con plazo mayor o igual a 1 año</w:t>
            </w:r>
          </w:p>
        </w:tc>
        <w:tc>
          <w:tcPr>
            <w:tcW w:w="1017" w:type="dxa"/>
            <w:vAlign w:val="center"/>
            <w:hideMark/>
          </w:tcPr>
          <w:p w14:paraId="07A23E7B"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100%</w:t>
            </w:r>
          </w:p>
        </w:tc>
      </w:tr>
      <w:tr w:rsidR="00912847" w:rsidRPr="00912847" w14:paraId="7CC57499" w14:textId="77777777" w:rsidTr="688A6030">
        <w:trPr>
          <w:trHeight w:val="300"/>
        </w:trPr>
        <w:tc>
          <w:tcPr>
            <w:tcW w:w="885" w:type="dxa"/>
            <w:noWrap/>
            <w:vAlign w:val="center"/>
          </w:tcPr>
          <w:p w14:paraId="1BD0A77E"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30</w:t>
            </w:r>
          </w:p>
        </w:tc>
        <w:tc>
          <w:tcPr>
            <w:tcW w:w="6774" w:type="dxa"/>
            <w:vAlign w:val="center"/>
            <w:hideMark/>
          </w:tcPr>
          <w:p w14:paraId="2EB64FB0" w14:textId="529BFECE"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Bonos </w:t>
            </w:r>
            <w:r w:rsidRPr="00A4685E" w:rsidDel="00B3386B">
              <w:rPr>
                <w:rFonts w:ascii="Verdana" w:eastAsia="Times New Roman" w:hAnsi="Verdana" w:cs="Arial"/>
                <w:color w:val="000000"/>
                <w:kern w:val="0"/>
                <w:sz w:val="16"/>
                <w:szCs w:val="16"/>
                <w:lang w:eastAsia="es-CO"/>
                <w14:ligatures w14:val="none"/>
              </w:rPr>
              <w:t xml:space="preserve">y </w:t>
            </w:r>
            <w:r w:rsidR="002C2900">
              <w:rPr>
                <w:rFonts w:ascii="Verdana" w:eastAsia="Times New Roman" w:hAnsi="Verdana" w:cs="Arial"/>
                <w:color w:val="000000"/>
                <w:kern w:val="0"/>
                <w:sz w:val="16"/>
                <w:szCs w:val="16"/>
                <w:lang w:eastAsia="es-CO"/>
                <w14:ligatures w14:val="none"/>
              </w:rPr>
              <w:t>p</w:t>
            </w:r>
            <w:r w:rsidRPr="00A4685E" w:rsidDel="00B3386B">
              <w:rPr>
                <w:rFonts w:ascii="Verdana" w:eastAsia="Times New Roman" w:hAnsi="Verdana" w:cs="Arial"/>
                <w:color w:val="000000"/>
                <w:kern w:val="0"/>
                <w:sz w:val="16"/>
                <w:szCs w:val="16"/>
                <w:lang w:eastAsia="es-CO"/>
                <w14:ligatures w14:val="none"/>
              </w:rPr>
              <w:t xml:space="preserve">apeles </w:t>
            </w:r>
            <w:r w:rsidR="002C2900">
              <w:rPr>
                <w:rFonts w:ascii="Verdana" w:eastAsia="Times New Roman" w:hAnsi="Verdana" w:cs="Arial"/>
                <w:color w:val="000000"/>
                <w:kern w:val="0"/>
                <w:sz w:val="16"/>
                <w:szCs w:val="16"/>
                <w:lang w:eastAsia="es-CO"/>
                <w14:ligatures w14:val="none"/>
              </w:rPr>
              <w:t>c</w:t>
            </w:r>
            <w:r w:rsidRPr="00A4685E" w:rsidDel="00B3386B">
              <w:rPr>
                <w:rFonts w:ascii="Verdana" w:eastAsia="Times New Roman" w:hAnsi="Verdana" w:cs="Arial"/>
                <w:color w:val="000000"/>
                <w:kern w:val="0"/>
                <w:sz w:val="16"/>
                <w:szCs w:val="16"/>
                <w:lang w:eastAsia="es-CO"/>
                <w14:ligatures w14:val="none"/>
              </w:rPr>
              <w:t xml:space="preserve">omerciales </w:t>
            </w:r>
            <w:r w:rsidRPr="00A4685E">
              <w:rPr>
                <w:rFonts w:ascii="Verdana" w:eastAsia="Times New Roman" w:hAnsi="Verdana" w:cs="Arial"/>
                <w:color w:val="000000"/>
                <w:kern w:val="0"/>
                <w:sz w:val="16"/>
                <w:szCs w:val="16"/>
                <w:lang w:eastAsia="es-CO"/>
                <w14:ligatures w14:val="none"/>
              </w:rPr>
              <w:t xml:space="preserve">con </w:t>
            </w:r>
            <w:r w:rsidR="002C2900">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lazo mayor o igual a 6 meses y menor a 1 año</w:t>
            </w:r>
          </w:p>
        </w:tc>
        <w:tc>
          <w:tcPr>
            <w:tcW w:w="1017" w:type="dxa"/>
            <w:vAlign w:val="center"/>
            <w:hideMark/>
          </w:tcPr>
          <w:p w14:paraId="231BCE48"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95%</w:t>
            </w:r>
          </w:p>
        </w:tc>
      </w:tr>
      <w:tr w:rsidR="00912847" w:rsidRPr="00912847" w14:paraId="1852C219" w14:textId="77777777" w:rsidTr="688A6030">
        <w:trPr>
          <w:trHeight w:val="300"/>
        </w:trPr>
        <w:tc>
          <w:tcPr>
            <w:tcW w:w="885" w:type="dxa"/>
            <w:noWrap/>
            <w:vAlign w:val="center"/>
          </w:tcPr>
          <w:p w14:paraId="3E17069F"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31</w:t>
            </w:r>
          </w:p>
        </w:tc>
        <w:tc>
          <w:tcPr>
            <w:tcW w:w="6774" w:type="dxa"/>
            <w:vAlign w:val="center"/>
            <w:hideMark/>
          </w:tcPr>
          <w:p w14:paraId="1465D11D" w14:textId="0583B06E"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Bonos </w:t>
            </w:r>
            <w:r w:rsidRPr="00A4685E" w:rsidDel="00B3386B">
              <w:rPr>
                <w:rFonts w:ascii="Verdana" w:eastAsia="Times New Roman" w:hAnsi="Verdana" w:cs="Arial"/>
                <w:color w:val="000000"/>
                <w:kern w:val="0"/>
                <w:sz w:val="16"/>
                <w:szCs w:val="16"/>
                <w:lang w:eastAsia="es-CO"/>
                <w14:ligatures w14:val="none"/>
              </w:rPr>
              <w:t xml:space="preserve">y </w:t>
            </w:r>
            <w:r w:rsidR="002C2900">
              <w:rPr>
                <w:rFonts w:ascii="Verdana" w:eastAsia="Times New Roman" w:hAnsi="Verdana" w:cs="Arial"/>
                <w:color w:val="000000"/>
                <w:kern w:val="0"/>
                <w:sz w:val="16"/>
                <w:szCs w:val="16"/>
                <w:lang w:eastAsia="es-CO"/>
                <w14:ligatures w14:val="none"/>
              </w:rPr>
              <w:t>p</w:t>
            </w:r>
            <w:r w:rsidRPr="00A4685E" w:rsidDel="00B3386B">
              <w:rPr>
                <w:rFonts w:ascii="Verdana" w:eastAsia="Times New Roman" w:hAnsi="Verdana" w:cs="Arial"/>
                <w:color w:val="000000"/>
                <w:kern w:val="0"/>
                <w:sz w:val="16"/>
                <w:szCs w:val="16"/>
                <w:lang w:eastAsia="es-CO"/>
                <w14:ligatures w14:val="none"/>
              </w:rPr>
              <w:t xml:space="preserve">apeles </w:t>
            </w:r>
            <w:r w:rsidR="002C2900">
              <w:rPr>
                <w:rFonts w:ascii="Verdana" w:eastAsia="Times New Roman" w:hAnsi="Verdana" w:cs="Arial"/>
                <w:color w:val="000000"/>
                <w:kern w:val="0"/>
                <w:sz w:val="16"/>
                <w:szCs w:val="16"/>
                <w:lang w:eastAsia="es-CO"/>
                <w14:ligatures w14:val="none"/>
              </w:rPr>
              <w:t>c</w:t>
            </w:r>
            <w:r w:rsidRPr="00A4685E" w:rsidDel="00B3386B">
              <w:rPr>
                <w:rFonts w:ascii="Verdana" w:eastAsia="Times New Roman" w:hAnsi="Verdana" w:cs="Arial"/>
                <w:color w:val="000000"/>
                <w:kern w:val="0"/>
                <w:sz w:val="16"/>
                <w:szCs w:val="16"/>
                <w:lang w:eastAsia="es-CO"/>
                <w14:ligatures w14:val="none"/>
              </w:rPr>
              <w:t xml:space="preserve">omerciales </w:t>
            </w:r>
            <w:r w:rsidRPr="00A4685E">
              <w:rPr>
                <w:rFonts w:ascii="Verdana" w:eastAsia="Times New Roman" w:hAnsi="Verdana" w:cs="Arial"/>
                <w:color w:val="000000"/>
                <w:kern w:val="0"/>
                <w:sz w:val="16"/>
                <w:szCs w:val="16"/>
                <w:lang w:eastAsia="es-CO"/>
                <w14:ligatures w14:val="none"/>
              </w:rPr>
              <w:t>con plazo menor a 6 meses</w:t>
            </w:r>
          </w:p>
        </w:tc>
        <w:tc>
          <w:tcPr>
            <w:tcW w:w="1017" w:type="dxa"/>
            <w:vAlign w:val="center"/>
            <w:hideMark/>
          </w:tcPr>
          <w:p w14:paraId="211406BA"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6BDB84A9" w14:textId="77777777" w:rsidTr="688A6030">
        <w:trPr>
          <w:trHeight w:val="300"/>
        </w:trPr>
        <w:tc>
          <w:tcPr>
            <w:tcW w:w="885" w:type="dxa"/>
            <w:noWrap/>
            <w:vAlign w:val="center"/>
          </w:tcPr>
          <w:p w14:paraId="39ECF93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32</w:t>
            </w:r>
          </w:p>
        </w:tc>
        <w:tc>
          <w:tcPr>
            <w:tcW w:w="6774" w:type="dxa"/>
            <w:vAlign w:val="center"/>
            <w:hideMark/>
          </w:tcPr>
          <w:p w14:paraId="5321C5C4" w14:textId="4918F7FE"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Créditos y </w:t>
            </w:r>
            <w:r w:rsidR="002C2900">
              <w:rPr>
                <w:rFonts w:ascii="Verdana" w:eastAsia="Times New Roman" w:hAnsi="Verdana" w:cs="Arial"/>
                <w:color w:val="000000"/>
                <w:kern w:val="0"/>
                <w:sz w:val="16"/>
                <w:szCs w:val="16"/>
                <w:lang w:eastAsia="es-CO"/>
                <w14:ligatures w14:val="none"/>
              </w:rPr>
              <w:t>o</w:t>
            </w:r>
            <w:r w:rsidRPr="00A4685E">
              <w:rPr>
                <w:rFonts w:ascii="Verdana" w:eastAsia="Times New Roman" w:hAnsi="Verdana" w:cs="Arial"/>
                <w:color w:val="000000"/>
                <w:kern w:val="0"/>
                <w:sz w:val="16"/>
                <w:szCs w:val="16"/>
                <w:lang w:eastAsia="es-CO"/>
                <w14:ligatures w14:val="none"/>
              </w:rPr>
              <w:t xml:space="preserve">tras </w:t>
            </w:r>
            <w:r w:rsidR="002C2900">
              <w:rPr>
                <w:rFonts w:ascii="Verdana" w:eastAsia="Times New Roman" w:hAnsi="Verdana" w:cs="Arial"/>
                <w:color w:val="000000"/>
                <w:kern w:val="0"/>
                <w:sz w:val="16"/>
                <w:szCs w:val="16"/>
                <w:lang w:eastAsia="es-CO"/>
                <w14:ligatures w14:val="none"/>
              </w:rPr>
              <w:t>o</w:t>
            </w:r>
            <w:r w:rsidRPr="00A4685E">
              <w:rPr>
                <w:rFonts w:ascii="Verdana" w:eastAsia="Times New Roman" w:hAnsi="Verdana" w:cs="Arial"/>
                <w:color w:val="000000"/>
                <w:kern w:val="0"/>
                <w:sz w:val="16"/>
                <w:szCs w:val="16"/>
                <w:lang w:eastAsia="es-CO"/>
                <w14:ligatures w14:val="none"/>
              </w:rPr>
              <w:t xml:space="preserve">bligaciones </w:t>
            </w:r>
            <w:r w:rsidR="002C2900">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inancieras con plazo mayor o igual a 1 año</w:t>
            </w:r>
          </w:p>
        </w:tc>
        <w:tc>
          <w:tcPr>
            <w:tcW w:w="1017" w:type="dxa"/>
            <w:vAlign w:val="center"/>
            <w:hideMark/>
          </w:tcPr>
          <w:p w14:paraId="51ACC3AC"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100%</w:t>
            </w:r>
          </w:p>
        </w:tc>
      </w:tr>
      <w:tr w:rsidR="00912847" w:rsidRPr="00912847" w14:paraId="7338DE23" w14:textId="77777777" w:rsidTr="688A6030">
        <w:trPr>
          <w:trHeight w:val="480"/>
        </w:trPr>
        <w:tc>
          <w:tcPr>
            <w:tcW w:w="885" w:type="dxa"/>
            <w:noWrap/>
            <w:vAlign w:val="center"/>
          </w:tcPr>
          <w:p w14:paraId="5F7D25C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33</w:t>
            </w:r>
          </w:p>
        </w:tc>
        <w:tc>
          <w:tcPr>
            <w:tcW w:w="6774" w:type="dxa"/>
            <w:vAlign w:val="center"/>
            <w:hideMark/>
          </w:tcPr>
          <w:p w14:paraId="5F202494" w14:textId="3C7E8505"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Créditos y </w:t>
            </w:r>
            <w:r w:rsidR="002C2900">
              <w:rPr>
                <w:rFonts w:ascii="Verdana" w:eastAsia="Times New Roman" w:hAnsi="Verdana" w:cs="Arial"/>
                <w:color w:val="000000"/>
                <w:kern w:val="0"/>
                <w:sz w:val="16"/>
                <w:szCs w:val="16"/>
                <w:lang w:eastAsia="es-CO"/>
                <w14:ligatures w14:val="none"/>
              </w:rPr>
              <w:t>o</w:t>
            </w:r>
            <w:r w:rsidRPr="00A4685E">
              <w:rPr>
                <w:rFonts w:ascii="Verdana" w:eastAsia="Times New Roman" w:hAnsi="Verdana" w:cs="Arial"/>
                <w:color w:val="000000"/>
                <w:kern w:val="0"/>
                <w:sz w:val="16"/>
                <w:szCs w:val="16"/>
                <w:lang w:eastAsia="es-CO"/>
                <w14:ligatures w14:val="none"/>
              </w:rPr>
              <w:t xml:space="preserve">tras </w:t>
            </w:r>
            <w:r w:rsidR="002C2900">
              <w:rPr>
                <w:rFonts w:ascii="Verdana" w:eastAsia="Times New Roman" w:hAnsi="Verdana" w:cs="Arial"/>
                <w:color w:val="000000"/>
                <w:kern w:val="0"/>
                <w:sz w:val="16"/>
                <w:szCs w:val="16"/>
                <w:lang w:eastAsia="es-CO"/>
                <w14:ligatures w14:val="none"/>
              </w:rPr>
              <w:t>o</w:t>
            </w:r>
            <w:r w:rsidRPr="00A4685E">
              <w:rPr>
                <w:rFonts w:ascii="Verdana" w:eastAsia="Times New Roman" w:hAnsi="Verdana" w:cs="Arial"/>
                <w:color w:val="000000"/>
                <w:kern w:val="0"/>
                <w:sz w:val="16"/>
                <w:szCs w:val="16"/>
                <w:lang w:eastAsia="es-CO"/>
                <w14:ligatures w14:val="none"/>
              </w:rPr>
              <w:t xml:space="preserve">bligaciones </w:t>
            </w:r>
            <w:r w:rsidR="002C2900">
              <w:rPr>
                <w:rFonts w:ascii="Verdana" w:eastAsia="Times New Roman" w:hAnsi="Verdana" w:cs="Arial"/>
                <w:color w:val="000000"/>
                <w:kern w:val="0"/>
                <w:sz w:val="16"/>
                <w:szCs w:val="16"/>
                <w:lang w:eastAsia="es-CO"/>
                <w14:ligatures w14:val="none"/>
              </w:rPr>
              <w:t>f</w:t>
            </w:r>
            <w:r w:rsidRPr="00A4685E">
              <w:rPr>
                <w:rFonts w:ascii="Verdana" w:eastAsia="Times New Roman" w:hAnsi="Verdana" w:cs="Arial"/>
                <w:color w:val="000000"/>
                <w:kern w:val="0"/>
                <w:sz w:val="16"/>
                <w:szCs w:val="16"/>
                <w:lang w:eastAsia="es-CO"/>
                <w14:ligatures w14:val="none"/>
              </w:rPr>
              <w:t xml:space="preserve">inancieras con </w:t>
            </w:r>
            <w:r w:rsidR="002C2900">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ultilaterales, </w:t>
            </w:r>
            <w:r w:rsidR="002C2900">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oberanos, </w:t>
            </w:r>
            <w:r w:rsidR="002C2900">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 xml:space="preserve">ntidades </w:t>
            </w:r>
            <w:r w:rsidR="002C2900">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úblicas y </w:t>
            </w:r>
            <w:r w:rsidR="002C2900">
              <w:rPr>
                <w:rFonts w:ascii="Verdana" w:eastAsia="Times New Roman" w:hAnsi="Verdana" w:cs="Arial"/>
                <w:color w:val="000000"/>
                <w:kern w:val="0"/>
                <w:sz w:val="16"/>
                <w:szCs w:val="16"/>
                <w:lang w:eastAsia="es-CO"/>
                <w14:ligatures w14:val="none"/>
              </w:rPr>
              <w:t>b</w:t>
            </w:r>
            <w:r w:rsidRPr="00A4685E">
              <w:rPr>
                <w:rFonts w:ascii="Verdana" w:eastAsia="Times New Roman" w:hAnsi="Verdana" w:cs="Arial"/>
                <w:color w:val="000000"/>
                <w:kern w:val="0"/>
                <w:sz w:val="16"/>
                <w:szCs w:val="16"/>
                <w:lang w:eastAsia="es-CO"/>
                <w14:ligatures w14:val="none"/>
              </w:rPr>
              <w:t xml:space="preserve">ancas de </w:t>
            </w:r>
            <w:r w:rsidR="002C2900">
              <w:rPr>
                <w:rFonts w:ascii="Verdana" w:eastAsia="Times New Roman" w:hAnsi="Verdana" w:cs="Arial"/>
                <w:color w:val="000000"/>
                <w:kern w:val="0"/>
                <w:sz w:val="16"/>
                <w:szCs w:val="16"/>
                <w:lang w:eastAsia="es-CO"/>
                <w14:ligatures w14:val="none"/>
              </w:rPr>
              <w:t>d</w:t>
            </w:r>
            <w:r w:rsidRPr="00A4685E">
              <w:rPr>
                <w:rFonts w:ascii="Verdana" w:eastAsia="Times New Roman" w:hAnsi="Verdana" w:cs="Arial"/>
                <w:color w:val="000000"/>
                <w:kern w:val="0"/>
                <w:sz w:val="16"/>
                <w:szCs w:val="16"/>
                <w:lang w:eastAsia="es-CO"/>
                <w14:ligatures w14:val="none"/>
              </w:rPr>
              <w:t>esarrollo con plazo menor a 6 meses</w:t>
            </w:r>
          </w:p>
        </w:tc>
        <w:tc>
          <w:tcPr>
            <w:tcW w:w="1017" w:type="dxa"/>
            <w:vAlign w:val="center"/>
            <w:hideMark/>
          </w:tcPr>
          <w:p w14:paraId="6F282C50"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5AC459BB" w14:textId="77777777" w:rsidTr="688A6030">
        <w:trPr>
          <w:trHeight w:val="480"/>
        </w:trPr>
        <w:tc>
          <w:tcPr>
            <w:tcW w:w="885" w:type="dxa"/>
            <w:noWrap/>
            <w:vAlign w:val="center"/>
          </w:tcPr>
          <w:p w14:paraId="67AEE64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34</w:t>
            </w:r>
          </w:p>
        </w:tc>
        <w:tc>
          <w:tcPr>
            <w:tcW w:w="6774" w:type="dxa"/>
            <w:vAlign w:val="center"/>
            <w:hideMark/>
          </w:tcPr>
          <w:p w14:paraId="3BC49ACA" w14:textId="15FC1503"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Créditos y Otras Obligaciones Financieras con </w:t>
            </w:r>
            <w:r w:rsidR="009578AB">
              <w:rPr>
                <w:rFonts w:ascii="Verdana" w:eastAsia="Times New Roman" w:hAnsi="Verdana" w:cs="Arial"/>
                <w:color w:val="000000"/>
                <w:kern w:val="0"/>
                <w:sz w:val="16"/>
                <w:szCs w:val="16"/>
                <w:lang w:eastAsia="es-CO"/>
                <w14:ligatures w14:val="none"/>
              </w:rPr>
              <w:t>m</w:t>
            </w:r>
            <w:r w:rsidRPr="00A4685E">
              <w:rPr>
                <w:rFonts w:ascii="Verdana" w:eastAsia="Times New Roman" w:hAnsi="Verdana" w:cs="Arial"/>
                <w:color w:val="000000"/>
                <w:kern w:val="0"/>
                <w:sz w:val="16"/>
                <w:szCs w:val="16"/>
                <w:lang w:eastAsia="es-CO"/>
                <w14:ligatures w14:val="none"/>
              </w:rPr>
              <w:t xml:space="preserve">ultilaterales, </w:t>
            </w:r>
            <w:r w:rsidR="009578AB">
              <w:rPr>
                <w:rFonts w:ascii="Verdana" w:eastAsia="Times New Roman" w:hAnsi="Verdana" w:cs="Arial"/>
                <w:color w:val="000000"/>
                <w:kern w:val="0"/>
                <w:sz w:val="16"/>
                <w:szCs w:val="16"/>
                <w:lang w:eastAsia="es-CO"/>
                <w14:ligatures w14:val="none"/>
              </w:rPr>
              <w:t>s</w:t>
            </w:r>
            <w:r w:rsidRPr="00A4685E">
              <w:rPr>
                <w:rFonts w:ascii="Verdana" w:eastAsia="Times New Roman" w:hAnsi="Verdana" w:cs="Arial"/>
                <w:color w:val="000000"/>
                <w:kern w:val="0"/>
                <w:sz w:val="16"/>
                <w:szCs w:val="16"/>
                <w:lang w:eastAsia="es-CO"/>
                <w14:ligatures w14:val="none"/>
              </w:rPr>
              <w:t xml:space="preserve">oberanos, </w:t>
            </w:r>
            <w:r w:rsidR="009578AB">
              <w:rPr>
                <w:rFonts w:ascii="Verdana" w:eastAsia="Times New Roman" w:hAnsi="Verdana" w:cs="Arial"/>
                <w:color w:val="000000"/>
                <w:kern w:val="0"/>
                <w:sz w:val="16"/>
                <w:szCs w:val="16"/>
                <w:lang w:eastAsia="es-CO"/>
                <w14:ligatures w14:val="none"/>
              </w:rPr>
              <w:t>e</w:t>
            </w:r>
            <w:r w:rsidRPr="00A4685E">
              <w:rPr>
                <w:rFonts w:ascii="Verdana" w:eastAsia="Times New Roman" w:hAnsi="Verdana" w:cs="Arial"/>
                <w:color w:val="000000"/>
                <w:kern w:val="0"/>
                <w:sz w:val="16"/>
                <w:szCs w:val="16"/>
                <w:lang w:eastAsia="es-CO"/>
                <w14:ligatures w14:val="none"/>
              </w:rPr>
              <w:t xml:space="preserve">ntidades </w:t>
            </w:r>
            <w:r w:rsidR="009578AB">
              <w:rPr>
                <w:rFonts w:ascii="Verdana" w:eastAsia="Times New Roman" w:hAnsi="Verdana" w:cs="Arial"/>
                <w:color w:val="000000"/>
                <w:kern w:val="0"/>
                <w:sz w:val="16"/>
                <w:szCs w:val="16"/>
                <w:lang w:eastAsia="es-CO"/>
                <w14:ligatures w14:val="none"/>
              </w:rPr>
              <w:t>p</w:t>
            </w:r>
            <w:r w:rsidRPr="00A4685E">
              <w:rPr>
                <w:rFonts w:ascii="Verdana" w:eastAsia="Times New Roman" w:hAnsi="Verdana" w:cs="Arial"/>
                <w:color w:val="000000"/>
                <w:kern w:val="0"/>
                <w:sz w:val="16"/>
                <w:szCs w:val="16"/>
                <w:lang w:eastAsia="es-CO"/>
                <w14:ligatures w14:val="none"/>
              </w:rPr>
              <w:t xml:space="preserve">úblicas y </w:t>
            </w:r>
            <w:r w:rsidR="009578AB">
              <w:rPr>
                <w:rFonts w:ascii="Verdana" w:eastAsia="Times New Roman" w:hAnsi="Verdana" w:cs="Arial"/>
                <w:color w:val="000000"/>
                <w:kern w:val="0"/>
                <w:sz w:val="16"/>
                <w:szCs w:val="16"/>
                <w:lang w:eastAsia="es-CO"/>
                <w14:ligatures w14:val="none"/>
              </w:rPr>
              <w:t>b</w:t>
            </w:r>
            <w:r w:rsidRPr="00A4685E">
              <w:rPr>
                <w:rFonts w:ascii="Verdana" w:eastAsia="Times New Roman" w:hAnsi="Verdana" w:cs="Arial"/>
                <w:color w:val="000000"/>
                <w:kern w:val="0"/>
                <w:sz w:val="16"/>
                <w:szCs w:val="16"/>
                <w:lang w:eastAsia="es-CO"/>
                <w14:ligatures w14:val="none"/>
              </w:rPr>
              <w:t xml:space="preserve">ancas de </w:t>
            </w:r>
            <w:r w:rsidR="009578AB">
              <w:rPr>
                <w:rFonts w:ascii="Verdana" w:eastAsia="Times New Roman" w:hAnsi="Verdana" w:cs="Arial"/>
                <w:color w:val="000000"/>
                <w:kern w:val="0"/>
                <w:sz w:val="16"/>
                <w:szCs w:val="16"/>
                <w:lang w:eastAsia="es-CO"/>
                <w14:ligatures w14:val="none"/>
              </w:rPr>
              <w:t>d</w:t>
            </w:r>
            <w:r w:rsidRPr="00A4685E">
              <w:rPr>
                <w:rFonts w:ascii="Verdana" w:eastAsia="Times New Roman" w:hAnsi="Verdana" w:cs="Arial"/>
                <w:color w:val="000000"/>
                <w:kern w:val="0"/>
                <w:sz w:val="16"/>
                <w:szCs w:val="16"/>
                <w:lang w:eastAsia="es-CO"/>
                <w14:ligatures w14:val="none"/>
              </w:rPr>
              <w:t>esarrollo con plazo mayor o igual a 6 meses y menor a 1 año</w:t>
            </w:r>
          </w:p>
        </w:tc>
        <w:tc>
          <w:tcPr>
            <w:tcW w:w="1017" w:type="dxa"/>
            <w:vAlign w:val="center"/>
            <w:hideMark/>
          </w:tcPr>
          <w:p w14:paraId="00731A4B"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16B1ABBA" w14:textId="77777777" w:rsidTr="688A6030">
        <w:trPr>
          <w:trHeight w:val="300"/>
        </w:trPr>
        <w:tc>
          <w:tcPr>
            <w:tcW w:w="885" w:type="dxa"/>
            <w:noWrap/>
            <w:vAlign w:val="center"/>
          </w:tcPr>
          <w:p w14:paraId="39B33466"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35</w:t>
            </w:r>
          </w:p>
        </w:tc>
        <w:tc>
          <w:tcPr>
            <w:tcW w:w="6774" w:type="dxa"/>
            <w:vAlign w:val="center"/>
            <w:hideMark/>
          </w:tcPr>
          <w:p w14:paraId="2AEE0DB7"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Créditos y Otras Obligaciones Financieras con Bancos Centrales con plazo mayor o igual a 6 meses y menor a 1 año</w:t>
            </w:r>
          </w:p>
        </w:tc>
        <w:tc>
          <w:tcPr>
            <w:tcW w:w="1017" w:type="dxa"/>
            <w:vAlign w:val="center"/>
            <w:hideMark/>
          </w:tcPr>
          <w:p w14:paraId="0990E51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140512AB" w14:textId="77777777" w:rsidTr="688A6030">
        <w:trPr>
          <w:trHeight w:val="300"/>
        </w:trPr>
        <w:tc>
          <w:tcPr>
            <w:tcW w:w="885" w:type="dxa"/>
            <w:noWrap/>
            <w:vAlign w:val="center"/>
          </w:tcPr>
          <w:p w14:paraId="3915C886"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36</w:t>
            </w:r>
          </w:p>
        </w:tc>
        <w:tc>
          <w:tcPr>
            <w:tcW w:w="6774" w:type="dxa"/>
            <w:vAlign w:val="center"/>
            <w:hideMark/>
          </w:tcPr>
          <w:p w14:paraId="13BAA13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Créditos y Otras Obligaciones Financieras con Instituciones Financieras con plazo mayor o igual a 6 meses y menor a 1 año</w:t>
            </w:r>
          </w:p>
        </w:tc>
        <w:tc>
          <w:tcPr>
            <w:tcW w:w="1017" w:type="dxa"/>
            <w:vAlign w:val="center"/>
            <w:hideMark/>
          </w:tcPr>
          <w:p w14:paraId="79C84B7E"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23082153" w14:textId="77777777" w:rsidTr="688A6030">
        <w:trPr>
          <w:trHeight w:val="300"/>
        </w:trPr>
        <w:tc>
          <w:tcPr>
            <w:tcW w:w="885" w:type="dxa"/>
            <w:noWrap/>
            <w:vAlign w:val="center"/>
          </w:tcPr>
          <w:p w14:paraId="21A9E13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37</w:t>
            </w:r>
          </w:p>
        </w:tc>
        <w:tc>
          <w:tcPr>
            <w:tcW w:w="6774" w:type="dxa"/>
            <w:vAlign w:val="center"/>
            <w:hideMark/>
          </w:tcPr>
          <w:p w14:paraId="0D31020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Créditos y Otras Obligaciones Financieras con Otras Contrapartes con plazo mayor o igual a 6 meses y menor a 1 año</w:t>
            </w:r>
          </w:p>
        </w:tc>
        <w:tc>
          <w:tcPr>
            <w:tcW w:w="1017" w:type="dxa"/>
            <w:vAlign w:val="center"/>
            <w:hideMark/>
          </w:tcPr>
          <w:p w14:paraId="2C2859C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68B1FE43" w14:textId="77777777" w:rsidTr="688A6030">
        <w:trPr>
          <w:trHeight w:val="300"/>
        </w:trPr>
        <w:tc>
          <w:tcPr>
            <w:tcW w:w="885" w:type="dxa"/>
            <w:noWrap/>
            <w:vAlign w:val="center"/>
          </w:tcPr>
          <w:p w14:paraId="09F32953"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38</w:t>
            </w:r>
          </w:p>
        </w:tc>
        <w:tc>
          <w:tcPr>
            <w:tcW w:w="6774" w:type="dxa"/>
            <w:vAlign w:val="center"/>
            <w:hideMark/>
          </w:tcPr>
          <w:p w14:paraId="50850328"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Créditos y Otras Obligaciones Financieras con Bancos Centrales con plazo menor a 6 meses</w:t>
            </w:r>
          </w:p>
        </w:tc>
        <w:tc>
          <w:tcPr>
            <w:tcW w:w="1017" w:type="dxa"/>
            <w:vAlign w:val="center"/>
            <w:hideMark/>
          </w:tcPr>
          <w:p w14:paraId="19D7039B"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0%</w:t>
            </w:r>
          </w:p>
        </w:tc>
      </w:tr>
      <w:tr w:rsidR="00912847" w:rsidRPr="00912847" w14:paraId="4E8DE4C4" w14:textId="77777777" w:rsidTr="688A6030">
        <w:trPr>
          <w:trHeight w:val="300"/>
        </w:trPr>
        <w:tc>
          <w:tcPr>
            <w:tcW w:w="885" w:type="dxa"/>
            <w:noWrap/>
            <w:vAlign w:val="center"/>
          </w:tcPr>
          <w:p w14:paraId="0F744FF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39</w:t>
            </w:r>
          </w:p>
        </w:tc>
        <w:tc>
          <w:tcPr>
            <w:tcW w:w="6774" w:type="dxa"/>
            <w:vAlign w:val="center"/>
            <w:hideMark/>
          </w:tcPr>
          <w:p w14:paraId="7C2BB733"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Créditos y Otras Obligaciones Financieras con Instituciones Financieras con plazo menor a 6 meses</w:t>
            </w:r>
          </w:p>
        </w:tc>
        <w:tc>
          <w:tcPr>
            <w:tcW w:w="1017" w:type="dxa"/>
            <w:vAlign w:val="center"/>
            <w:hideMark/>
          </w:tcPr>
          <w:p w14:paraId="342019E3"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0%</w:t>
            </w:r>
          </w:p>
        </w:tc>
      </w:tr>
      <w:tr w:rsidR="00912847" w:rsidRPr="00912847" w14:paraId="39F91DCB" w14:textId="77777777" w:rsidTr="688A6030">
        <w:trPr>
          <w:trHeight w:val="300"/>
        </w:trPr>
        <w:tc>
          <w:tcPr>
            <w:tcW w:w="885" w:type="dxa"/>
            <w:noWrap/>
            <w:vAlign w:val="center"/>
          </w:tcPr>
          <w:p w14:paraId="348E221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40</w:t>
            </w:r>
          </w:p>
        </w:tc>
        <w:tc>
          <w:tcPr>
            <w:tcW w:w="6774" w:type="dxa"/>
            <w:vAlign w:val="center"/>
            <w:hideMark/>
          </w:tcPr>
          <w:p w14:paraId="4BBEEC54" w14:textId="651E506A"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Créditos y Otras Obligaciones </w:t>
            </w:r>
            <w:r w:rsidRPr="00A4685E">
              <w:rPr>
                <w:rFonts w:ascii="Verdana" w:eastAsia="Times New Roman" w:hAnsi="Verdana" w:cs="Arial"/>
                <w:color w:val="000000"/>
                <w:kern w:val="0"/>
                <w:sz w:val="16"/>
                <w:szCs w:val="16"/>
                <w:lang w:eastAsia="es-CO"/>
                <w14:ligatures w14:val="none"/>
              </w:rPr>
              <w:t>Financieras</w:t>
            </w:r>
            <w:r w:rsidR="7E719335" w:rsidRPr="00A4685E">
              <w:rPr>
                <w:rFonts w:ascii="Verdana" w:eastAsia="Times New Roman" w:hAnsi="Verdana" w:cs="Arial"/>
                <w:color w:val="000000"/>
                <w:kern w:val="0"/>
                <w:sz w:val="16"/>
                <w:szCs w:val="16"/>
                <w:lang w:eastAsia="es-CO"/>
                <w14:ligatures w14:val="none"/>
              </w:rPr>
              <w:t xml:space="preserve"> </w:t>
            </w:r>
            <w:r w:rsidRPr="00A4685E">
              <w:rPr>
                <w:rFonts w:ascii="Verdana" w:eastAsia="Times New Roman" w:hAnsi="Verdana" w:cs="Arial"/>
                <w:color w:val="000000"/>
                <w:kern w:val="0"/>
                <w:sz w:val="16"/>
                <w:szCs w:val="16"/>
                <w:lang w:eastAsia="es-CO"/>
                <w14:ligatures w14:val="none"/>
              </w:rPr>
              <w:t>con Otras Contrapartes con plazo menor a 6 meses</w:t>
            </w:r>
          </w:p>
        </w:tc>
        <w:tc>
          <w:tcPr>
            <w:tcW w:w="1017" w:type="dxa"/>
            <w:vAlign w:val="center"/>
            <w:hideMark/>
          </w:tcPr>
          <w:p w14:paraId="767D24C9"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0%</w:t>
            </w:r>
          </w:p>
        </w:tc>
      </w:tr>
      <w:tr w:rsidR="00912847" w:rsidRPr="00912847" w14:paraId="2F9EC3FB" w14:textId="77777777" w:rsidTr="688A6030">
        <w:trPr>
          <w:trHeight w:val="300"/>
        </w:trPr>
        <w:tc>
          <w:tcPr>
            <w:tcW w:w="885" w:type="dxa"/>
            <w:noWrap/>
            <w:vAlign w:val="center"/>
          </w:tcPr>
          <w:p w14:paraId="24F8C871"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41</w:t>
            </w:r>
          </w:p>
        </w:tc>
        <w:tc>
          <w:tcPr>
            <w:tcW w:w="6774" w:type="dxa"/>
            <w:vAlign w:val="center"/>
            <w:hideMark/>
          </w:tcPr>
          <w:p w14:paraId="772E6CC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Pasivo por impuesto diferido</w:t>
            </w:r>
          </w:p>
        </w:tc>
        <w:tc>
          <w:tcPr>
            <w:tcW w:w="1017" w:type="dxa"/>
            <w:vAlign w:val="center"/>
            <w:hideMark/>
          </w:tcPr>
          <w:p w14:paraId="4B0F939D"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0%</w:t>
            </w:r>
          </w:p>
        </w:tc>
      </w:tr>
      <w:tr w:rsidR="00912847" w:rsidRPr="00912847" w14:paraId="76B7BD41" w14:textId="77777777" w:rsidTr="688A6030">
        <w:trPr>
          <w:trHeight w:val="480"/>
        </w:trPr>
        <w:tc>
          <w:tcPr>
            <w:tcW w:w="885" w:type="dxa"/>
            <w:noWrap/>
            <w:vAlign w:val="center"/>
          </w:tcPr>
          <w:p w14:paraId="78D134C5"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42</w:t>
            </w:r>
          </w:p>
        </w:tc>
        <w:tc>
          <w:tcPr>
            <w:tcW w:w="6774" w:type="dxa"/>
            <w:vAlign w:val="center"/>
            <w:hideMark/>
          </w:tcPr>
          <w:p w14:paraId="0CE25970"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Derivados pasivos a efectos del CFEN netos de derivados activos a efectos del CFEN si los primeros son superiores a los segundos</w:t>
            </w:r>
          </w:p>
        </w:tc>
        <w:tc>
          <w:tcPr>
            <w:tcW w:w="1017" w:type="dxa"/>
            <w:vAlign w:val="center"/>
            <w:hideMark/>
          </w:tcPr>
          <w:p w14:paraId="628DD881"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0%</w:t>
            </w:r>
          </w:p>
        </w:tc>
      </w:tr>
      <w:tr w:rsidR="00912847" w:rsidRPr="00912847" w14:paraId="3A398E9D" w14:textId="77777777" w:rsidTr="688A6030">
        <w:trPr>
          <w:trHeight w:val="480"/>
        </w:trPr>
        <w:tc>
          <w:tcPr>
            <w:tcW w:w="885" w:type="dxa"/>
            <w:noWrap/>
            <w:vAlign w:val="center"/>
          </w:tcPr>
          <w:p w14:paraId="01E45224"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43</w:t>
            </w:r>
          </w:p>
        </w:tc>
        <w:tc>
          <w:tcPr>
            <w:tcW w:w="6774" w:type="dxa"/>
            <w:vAlign w:val="center"/>
          </w:tcPr>
          <w:p w14:paraId="2F2FD55E" w14:textId="46DA0422"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negocios fiduciarios con ponderación 90% según </w:t>
            </w:r>
            <w:r w:rsidR="00A04DA7">
              <w:rPr>
                <w:rFonts w:ascii="Verdana" w:eastAsia="Times New Roman" w:hAnsi="Verdana" w:cs="Arial"/>
                <w:color w:val="000000" w:themeColor="text1"/>
                <w:sz w:val="16"/>
                <w:szCs w:val="16"/>
                <w:lang w:eastAsia="es-CO"/>
              </w:rPr>
              <w:t>las instrucciones señaladas entre los párrafos</w:t>
            </w:r>
            <w:r w:rsidR="00C108AF">
              <w:rPr>
                <w:rFonts w:ascii="Verdana" w:eastAsia="Times New Roman" w:hAnsi="Verdana" w:cs="Arial"/>
                <w:color w:val="000000" w:themeColor="text1"/>
                <w:sz w:val="16"/>
                <w:szCs w:val="16"/>
                <w:lang w:eastAsia="es-CO"/>
              </w:rPr>
              <w:t xml:space="preserve"> 1.1.A12.</w:t>
            </w:r>
            <w:r w:rsidR="00BF6479">
              <w:rPr>
                <w:rFonts w:ascii="Verdana" w:eastAsia="Times New Roman" w:hAnsi="Verdana" w:cs="Arial"/>
                <w:color w:val="000000" w:themeColor="text1"/>
                <w:sz w:val="16"/>
                <w:szCs w:val="16"/>
                <w:lang w:eastAsia="es-CO"/>
              </w:rPr>
              <w:t>16. y 1.</w:t>
            </w:r>
            <w:proofErr w:type="gramStart"/>
            <w:r w:rsidR="00BF6479">
              <w:rPr>
                <w:rFonts w:ascii="Verdana" w:eastAsia="Times New Roman" w:hAnsi="Verdana" w:cs="Arial"/>
                <w:color w:val="000000" w:themeColor="text1"/>
                <w:sz w:val="16"/>
                <w:szCs w:val="16"/>
                <w:lang w:eastAsia="es-CO"/>
              </w:rPr>
              <w:t>1.A</w:t>
            </w:r>
            <w:proofErr w:type="gramEnd"/>
            <w:r w:rsidR="00BF6479">
              <w:rPr>
                <w:rFonts w:ascii="Verdana" w:eastAsia="Times New Roman" w:hAnsi="Verdana" w:cs="Arial"/>
                <w:color w:val="000000" w:themeColor="text1"/>
                <w:sz w:val="16"/>
                <w:szCs w:val="16"/>
                <w:lang w:eastAsia="es-CO"/>
              </w:rPr>
              <w:t>12.27.</w:t>
            </w:r>
          </w:p>
        </w:tc>
        <w:tc>
          <w:tcPr>
            <w:tcW w:w="1017" w:type="dxa"/>
            <w:vAlign w:val="center"/>
          </w:tcPr>
          <w:p w14:paraId="59194A05"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90%</w:t>
            </w:r>
          </w:p>
        </w:tc>
      </w:tr>
      <w:tr w:rsidR="00912847" w:rsidRPr="00912847" w14:paraId="5FF7B336" w14:textId="77777777" w:rsidTr="688A6030">
        <w:trPr>
          <w:trHeight w:val="480"/>
        </w:trPr>
        <w:tc>
          <w:tcPr>
            <w:tcW w:w="885" w:type="dxa"/>
            <w:noWrap/>
            <w:vAlign w:val="center"/>
          </w:tcPr>
          <w:p w14:paraId="4D20ECFC"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44</w:t>
            </w:r>
          </w:p>
        </w:tc>
        <w:tc>
          <w:tcPr>
            <w:tcW w:w="6774" w:type="dxa"/>
            <w:vAlign w:val="center"/>
          </w:tcPr>
          <w:p w14:paraId="0330521F" w14:textId="5103001A"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negocios fiduciarios con ponderación 50% </w:t>
            </w:r>
            <w:r w:rsidR="00BF6479" w:rsidRPr="00A4685E">
              <w:rPr>
                <w:rFonts w:ascii="Verdana" w:eastAsia="Times New Roman" w:hAnsi="Verdana" w:cs="Arial"/>
                <w:color w:val="000000"/>
                <w:kern w:val="0"/>
                <w:sz w:val="16"/>
                <w:szCs w:val="16"/>
                <w:lang w:eastAsia="es-CO"/>
                <w14:ligatures w14:val="none"/>
              </w:rPr>
              <w:t xml:space="preserve">según </w:t>
            </w:r>
            <w:r w:rsidR="00BF6479">
              <w:rPr>
                <w:rFonts w:ascii="Verdana" w:eastAsia="Times New Roman" w:hAnsi="Verdana" w:cs="Arial"/>
                <w:color w:val="000000" w:themeColor="text1"/>
                <w:sz w:val="16"/>
                <w:szCs w:val="16"/>
                <w:lang w:eastAsia="es-CO"/>
              </w:rPr>
              <w:t>las instrucciones señaladas entre los párrafos 1.1.A12.16. y 1.</w:t>
            </w:r>
            <w:proofErr w:type="gramStart"/>
            <w:r w:rsidR="00BF6479">
              <w:rPr>
                <w:rFonts w:ascii="Verdana" w:eastAsia="Times New Roman" w:hAnsi="Verdana" w:cs="Arial"/>
                <w:color w:val="000000" w:themeColor="text1"/>
                <w:sz w:val="16"/>
                <w:szCs w:val="16"/>
                <w:lang w:eastAsia="es-CO"/>
              </w:rPr>
              <w:t>1.A</w:t>
            </w:r>
            <w:proofErr w:type="gramEnd"/>
            <w:r w:rsidR="00BF6479">
              <w:rPr>
                <w:rFonts w:ascii="Verdana" w:eastAsia="Times New Roman" w:hAnsi="Verdana" w:cs="Arial"/>
                <w:color w:val="000000" w:themeColor="text1"/>
                <w:sz w:val="16"/>
                <w:szCs w:val="16"/>
                <w:lang w:eastAsia="es-CO"/>
              </w:rPr>
              <w:t>12.27.</w:t>
            </w:r>
          </w:p>
        </w:tc>
        <w:tc>
          <w:tcPr>
            <w:tcW w:w="1017" w:type="dxa"/>
            <w:vAlign w:val="center"/>
          </w:tcPr>
          <w:p w14:paraId="6FCB292E"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50%</w:t>
            </w:r>
          </w:p>
        </w:tc>
      </w:tr>
      <w:tr w:rsidR="00912847" w:rsidRPr="00912847" w14:paraId="6D8EE261" w14:textId="77777777" w:rsidTr="688A6030">
        <w:trPr>
          <w:trHeight w:val="480"/>
        </w:trPr>
        <w:tc>
          <w:tcPr>
            <w:tcW w:w="885" w:type="dxa"/>
            <w:noWrap/>
            <w:vAlign w:val="center"/>
          </w:tcPr>
          <w:p w14:paraId="3CA305F2"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45</w:t>
            </w:r>
          </w:p>
        </w:tc>
        <w:tc>
          <w:tcPr>
            <w:tcW w:w="6774" w:type="dxa"/>
            <w:vAlign w:val="center"/>
          </w:tcPr>
          <w:p w14:paraId="5527DAE5" w14:textId="23D40DC5"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 xml:space="preserve">Depósitos a la vista de negocios fiduciarios con ponderación 25% </w:t>
            </w:r>
            <w:r w:rsidR="00BF6479" w:rsidRPr="00A4685E">
              <w:rPr>
                <w:rFonts w:ascii="Verdana" w:eastAsia="Times New Roman" w:hAnsi="Verdana" w:cs="Arial"/>
                <w:color w:val="000000"/>
                <w:kern w:val="0"/>
                <w:sz w:val="16"/>
                <w:szCs w:val="16"/>
                <w:lang w:eastAsia="es-CO"/>
                <w14:ligatures w14:val="none"/>
              </w:rPr>
              <w:t xml:space="preserve">según </w:t>
            </w:r>
            <w:r w:rsidR="00BF6479">
              <w:rPr>
                <w:rFonts w:ascii="Verdana" w:eastAsia="Times New Roman" w:hAnsi="Verdana" w:cs="Arial"/>
                <w:color w:val="000000" w:themeColor="text1"/>
                <w:sz w:val="16"/>
                <w:szCs w:val="16"/>
                <w:lang w:eastAsia="es-CO"/>
              </w:rPr>
              <w:t>las instrucciones señaladas entre los párrafos 1.1.A12.16. y 1.</w:t>
            </w:r>
            <w:proofErr w:type="gramStart"/>
            <w:r w:rsidR="00BF6479">
              <w:rPr>
                <w:rFonts w:ascii="Verdana" w:eastAsia="Times New Roman" w:hAnsi="Verdana" w:cs="Arial"/>
                <w:color w:val="000000" w:themeColor="text1"/>
                <w:sz w:val="16"/>
                <w:szCs w:val="16"/>
                <w:lang w:eastAsia="es-CO"/>
              </w:rPr>
              <w:t>1.A</w:t>
            </w:r>
            <w:proofErr w:type="gramEnd"/>
            <w:r w:rsidR="00BF6479">
              <w:rPr>
                <w:rFonts w:ascii="Verdana" w:eastAsia="Times New Roman" w:hAnsi="Verdana" w:cs="Arial"/>
                <w:color w:val="000000" w:themeColor="text1"/>
                <w:sz w:val="16"/>
                <w:szCs w:val="16"/>
                <w:lang w:eastAsia="es-CO"/>
              </w:rPr>
              <w:t>12.27.</w:t>
            </w:r>
          </w:p>
        </w:tc>
        <w:tc>
          <w:tcPr>
            <w:tcW w:w="1017" w:type="dxa"/>
            <w:vAlign w:val="center"/>
          </w:tcPr>
          <w:p w14:paraId="7505760E" w14:textId="77777777" w:rsidR="00912847" w:rsidRPr="00A4685E" w:rsidRDefault="00912847" w:rsidP="00A4685E">
            <w:pPr>
              <w:spacing w:after="0" w:line="240" w:lineRule="auto"/>
              <w:jc w:val="center"/>
              <w:rPr>
                <w:rFonts w:ascii="Verdana" w:eastAsia="Times New Roman" w:hAnsi="Verdana" w:cs="Arial"/>
                <w:color w:val="000000"/>
                <w:kern w:val="0"/>
                <w:sz w:val="16"/>
                <w:szCs w:val="16"/>
                <w:lang w:eastAsia="es-CO"/>
                <w14:ligatures w14:val="none"/>
              </w:rPr>
            </w:pPr>
            <w:r w:rsidRPr="00A4685E">
              <w:rPr>
                <w:rFonts w:ascii="Verdana" w:eastAsia="Times New Roman" w:hAnsi="Verdana" w:cs="Arial"/>
                <w:color w:val="000000"/>
                <w:kern w:val="0"/>
                <w:sz w:val="16"/>
                <w:szCs w:val="16"/>
                <w:lang w:eastAsia="es-CO"/>
                <w14:ligatures w14:val="none"/>
              </w:rPr>
              <w:t>25%</w:t>
            </w:r>
          </w:p>
        </w:tc>
      </w:tr>
    </w:tbl>
    <w:p w14:paraId="44907D45" w14:textId="30C6A9DC" w:rsidR="00B06431" w:rsidRPr="00A53442" w:rsidRDefault="00912847" w:rsidP="00B06431">
      <w:pPr>
        <w:ind w:left="567" w:hanging="283"/>
        <w:jc w:val="both"/>
        <w:rPr>
          <w:rFonts w:ascii="Verdana" w:hAnsi="Verdana"/>
          <w:sz w:val="16"/>
          <w:szCs w:val="16"/>
        </w:rPr>
      </w:pPr>
      <w:r w:rsidRPr="00912847">
        <w:rPr>
          <w:rFonts w:ascii="Verdana" w:hAnsi="Verdana"/>
          <w:sz w:val="20"/>
          <w:szCs w:val="20"/>
        </w:rPr>
        <w:t xml:space="preserve"> </w:t>
      </w:r>
      <w:r w:rsidRPr="001E0BCC">
        <w:rPr>
          <w:rFonts w:ascii="Verdana" w:hAnsi="Verdana"/>
          <w:sz w:val="16"/>
          <w:szCs w:val="16"/>
        </w:rPr>
        <w:t xml:space="preserve">* </w:t>
      </w:r>
      <w:r w:rsidR="001E0BCC">
        <w:tab/>
      </w:r>
      <w:r w:rsidR="00A53442" w:rsidRPr="00A53442">
        <w:rPr>
          <w:rFonts w:ascii="Verdana" w:hAnsi="Verdana"/>
          <w:sz w:val="16"/>
          <w:szCs w:val="16"/>
        </w:rPr>
        <w:t xml:space="preserve">Para estos rubros, el factor será del 25% a partir </w:t>
      </w:r>
      <w:bookmarkStart w:id="0" w:name="_Hlk143262116"/>
      <w:r w:rsidR="00A53442" w:rsidRPr="00A53442">
        <w:rPr>
          <w:rFonts w:ascii="Verdana" w:hAnsi="Verdana"/>
          <w:sz w:val="16"/>
          <w:szCs w:val="16"/>
        </w:rPr>
        <w:t xml:space="preserve">del corte de información del </w:t>
      </w:r>
      <w:bookmarkEnd w:id="0"/>
      <w:r w:rsidR="00A53442" w:rsidRPr="00A53442">
        <w:rPr>
          <w:rFonts w:ascii="Verdana" w:hAnsi="Verdana"/>
          <w:sz w:val="16"/>
          <w:szCs w:val="16"/>
        </w:rPr>
        <w:t>30 de septiembre de 2023 y hasta el corte del 31 de octubre de 2026.</w:t>
      </w:r>
    </w:p>
    <w:p w14:paraId="4276A1D2" w14:textId="3DC21445" w:rsidR="00912847" w:rsidRPr="001E0BCC" w:rsidRDefault="00912847" w:rsidP="001E0BCC">
      <w:pPr>
        <w:pStyle w:val="Prrafodelista"/>
        <w:numPr>
          <w:ilvl w:val="0"/>
          <w:numId w:val="16"/>
        </w:numPr>
        <w:ind w:left="567" w:hanging="283"/>
        <w:jc w:val="both"/>
        <w:rPr>
          <w:rFonts w:ascii="Verdana" w:hAnsi="Verdana"/>
          <w:b/>
          <w:bCs/>
          <w:sz w:val="20"/>
          <w:szCs w:val="20"/>
        </w:rPr>
      </w:pPr>
      <w:r w:rsidRPr="001E0BCC">
        <w:rPr>
          <w:rFonts w:ascii="Verdana" w:hAnsi="Verdana"/>
          <w:b/>
          <w:bCs/>
          <w:sz w:val="20"/>
          <w:szCs w:val="20"/>
        </w:rPr>
        <w:t xml:space="preserve">Depósitos a la vista de </w:t>
      </w:r>
      <w:r w:rsidR="005A3DA4">
        <w:rPr>
          <w:rFonts w:ascii="Verdana" w:hAnsi="Verdana"/>
          <w:b/>
          <w:bCs/>
          <w:sz w:val="20"/>
          <w:szCs w:val="20"/>
        </w:rPr>
        <w:t>e</w:t>
      </w:r>
      <w:r w:rsidRPr="001E0BCC">
        <w:rPr>
          <w:rFonts w:ascii="Verdana" w:hAnsi="Verdana"/>
          <w:b/>
          <w:bCs/>
          <w:sz w:val="20"/>
          <w:szCs w:val="20"/>
        </w:rPr>
        <w:t xml:space="preserve">ntidades </w:t>
      </w:r>
      <w:r w:rsidR="005A3DA4">
        <w:rPr>
          <w:rFonts w:ascii="Verdana" w:hAnsi="Verdana"/>
          <w:b/>
          <w:bCs/>
          <w:sz w:val="20"/>
          <w:szCs w:val="20"/>
        </w:rPr>
        <w:t>f</w:t>
      </w:r>
      <w:r w:rsidRPr="001E0BCC">
        <w:rPr>
          <w:rFonts w:ascii="Verdana" w:hAnsi="Verdana"/>
          <w:b/>
          <w:bCs/>
          <w:sz w:val="20"/>
          <w:szCs w:val="20"/>
        </w:rPr>
        <w:t xml:space="preserve">inancieras </w:t>
      </w:r>
      <w:r w:rsidR="005A3DA4">
        <w:rPr>
          <w:rFonts w:ascii="Verdana" w:hAnsi="Verdana"/>
          <w:b/>
          <w:bCs/>
          <w:sz w:val="20"/>
          <w:szCs w:val="20"/>
        </w:rPr>
        <w:t>v</w:t>
      </w:r>
      <w:r w:rsidRPr="001E0BCC">
        <w:rPr>
          <w:rFonts w:ascii="Verdana" w:hAnsi="Verdana"/>
          <w:b/>
          <w:bCs/>
          <w:sz w:val="20"/>
          <w:szCs w:val="20"/>
        </w:rPr>
        <w:t>igiladas</w:t>
      </w:r>
    </w:p>
    <w:p w14:paraId="25CE32B8" w14:textId="517E637E" w:rsidR="00DE6FC9" w:rsidRPr="00964B84" w:rsidRDefault="00DE6FC9" w:rsidP="00DE6FC9">
      <w:pPr>
        <w:spacing w:after="0"/>
        <w:rPr>
          <w:rFonts w:ascii="Verdana" w:hAnsi="Verdana"/>
          <w:sz w:val="20"/>
          <w:szCs w:val="20"/>
        </w:rPr>
      </w:pPr>
      <w:r w:rsidRPr="688A6030">
        <w:rPr>
          <w:rFonts w:ascii="Verdana" w:hAnsi="Verdana"/>
          <w:sz w:val="20"/>
          <w:szCs w:val="20"/>
        </w:rPr>
        <w:t>1.1.A12.</w:t>
      </w:r>
      <w:r w:rsidR="6F857060" w:rsidRPr="688A6030">
        <w:rPr>
          <w:rFonts w:ascii="Verdana" w:hAnsi="Verdana"/>
          <w:sz w:val="20"/>
          <w:szCs w:val="20"/>
        </w:rPr>
        <w:t>1</w:t>
      </w:r>
      <w:r w:rsidR="00702C14">
        <w:rPr>
          <w:rFonts w:ascii="Verdana" w:hAnsi="Verdana"/>
          <w:sz w:val="20"/>
          <w:szCs w:val="20"/>
        </w:rPr>
        <w:t>4</w:t>
      </w:r>
      <w:r w:rsidRPr="688A6030">
        <w:rPr>
          <w:rFonts w:ascii="Verdana" w:hAnsi="Verdana"/>
          <w:sz w:val="20"/>
          <w:szCs w:val="20"/>
        </w:rPr>
        <w:t>.</w:t>
      </w:r>
    </w:p>
    <w:p w14:paraId="6E4B19D6" w14:textId="1CB7D0D2" w:rsidR="00912847" w:rsidRDefault="00912847" w:rsidP="00912847">
      <w:pPr>
        <w:jc w:val="both"/>
        <w:rPr>
          <w:rFonts w:ascii="Verdana" w:hAnsi="Verdana"/>
          <w:sz w:val="20"/>
          <w:szCs w:val="20"/>
        </w:rPr>
      </w:pPr>
      <w:r w:rsidRPr="688A6030">
        <w:rPr>
          <w:rFonts w:ascii="Verdana" w:hAnsi="Verdana"/>
          <w:sz w:val="20"/>
          <w:szCs w:val="20"/>
        </w:rPr>
        <w:t>Para efecto del cálculo del CFEN, los depósitos a la vista de entidades financieras vigiladas</w:t>
      </w:r>
      <w:r w:rsidR="00D106ED">
        <w:rPr>
          <w:rFonts w:ascii="Verdana" w:hAnsi="Verdana"/>
          <w:sz w:val="20"/>
          <w:szCs w:val="20"/>
        </w:rPr>
        <w:t xml:space="preserve"> corresponden a los depósitos de todas las entidades vigiladas por la SFC,</w:t>
      </w:r>
      <w:r w:rsidRPr="688A6030">
        <w:rPr>
          <w:rFonts w:ascii="Verdana" w:hAnsi="Verdana"/>
          <w:sz w:val="20"/>
          <w:szCs w:val="20"/>
        </w:rPr>
        <w:t xml:space="preserve"> incluyen</w:t>
      </w:r>
      <w:r w:rsidR="00D106ED">
        <w:rPr>
          <w:rFonts w:ascii="Verdana" w:hAnsi="Verdana"/>
          <w:sz w:val="20"/>
          <w:szCs w:val="20"/>
        </w:rPr>
        <w:t>do</w:t>
      </w:r>
      <w:r w:rsidR="0063506C">
        <w:rPr>
          <w:rFonts w:ascii="Verdana" w:hAnsi="Verdana"/>
          <w:sz w:val="20"/>
          <w:szCs w:val="20"/>
        </w:rPr>
        <w:t>, además</w:t>
      </w:r>
      <w:r w:rsidR="00BE0803">
        <w:rPr>
          <w:rFonts w:ascii="Verdana" w:hAnsi="Verdana"/>
          <w:sz w:val="20"/>
          <w:szCs w:val="20"/>
        </w:rPr>
        <w:t>,</w:t>
      </w:r>
      <w:r w:rsidRPr="688A6030">
        <w:rPr>
          <w:rFonts w:ascii="Verdana" w:hAnsi="Verdana"/>
          <w:sz w:val="20"/>
          <w:szCs w:val="20"/>
        </w:rPr>
        <w:t xml:space="preserve"> los depósitos a la vista de los fondos de pensiones obligatorias, fondos voluntarios de pensión, fondos de cesantías, fondos de inversión colectiva, fondos de capital privado, negocios fiduciarios y recursos del Fondo Nacional de Pensiones de la Entidades Territoriales (FONPET). Se excluyen de dicho concepto, los depósitos a la vista que correspondan a recursos de los fondos de inversión colectiva abiertos sin pacto de permanencia, fiducia en garantía, fiducia de administración y fiducia inmobiliaria, de conform</w:t>
      </w:r>
      <w:r w:rsidRPr="00980BFB">
        <w:rPr>
          <w:rFonts w:ascii="Verdana" w:hAnsi="Verdana"/>
          <w:sz w:val="20"/>
          <w:szCs w:val="20"/>
        </w:rPr>
        <w:t xml:space="preserve">idad con las instrucciones </w:t>
      </w:r>
      <w:r w:rsidR="00980BFB" w:rsidRPr="00980BFB">
        <w:rPr>
          <w:rFonts w:ascii="Verdana" w:hAnsi="Verdana"/>
          <w:sz w:val="20"/>
          <w:szCs w:val="20"/>
        </w:rPr>
        <w:t>señaladas entre los párrafos 1.1.A12.1</w:t>
      </w:r>
      <w:r w:rsidR="00F22403">
        <w:rPr>
          <w:rFonts w:ascii="Verdana" w:hAnsi="Verdana"/>
          <w:sz w:val="20"/>
          <w:szCs w:val="20"/>
        </w:rPr>
        <w:t>7</w:t>
      </w:r>
      <w:r w:rsidR="00980BFB" w:rsidRPr="00980BFB">
        <w:rPr>
          <w:rFonts w:ascii="Verdana" w:hAnsi="Verdana"/>
          <w:sz w:val="20"/>
          <w:szCs w:val="20"/>
        </w:rPr>
        <w:t>. y 1.1.A12.27.</w:t>
      </w:r>
    </w:p>
    <w:p w14:paraId="795C9B45" w14:textId="77777777" w:rsidR="00027E8D" w:rsidRPr="00912847" w:rsidRDefault="00027E8D" w:rsidP="00912847">
      <w:pPr>
        <w:jc w:val="both"/>
        <w:rPr>
          <w:rFonts w:ascii="Verdana" w:hAnsi="Verdana"/>
          <w:sz w:val="20"/>
          <w:szCs w:val="20"/>
        </w:rPr>
      </w:pPr>
    </w:p>
    <w:p w14:paraId="57F2D82A" w14:textId="2F24D4FA" w:rsidR="00912847" w:rsidRPr="001E0BCC" w:rsidRDefault="00912847" w:rsidP="001E0BCC">
      <w:pPr>
        <w:pStyle w:val="Prrafodelista"/>
        <w:numPr>
          <w:ilvl w:val="0"/>
          <w:numId w:val="16"/>
        </w:numPr>
        <w:ind w:left="567" w:hanging="283"/>
        <w:jc w:val="both"/>
        <w:rPr>
          <w:rFonts w:ascii="Verdana" w:hAnsi="Verdana"/>
          <w:b/>
          <w:bCs/>
          <w:sz w:val="20"/>
          <w:szCs w:val="20"/>
        </w:rPr>
      </w:pPr>
      <w:r w:rsidRPr="001E0BCC">
        <w:rPr>
          <w:rFonts w:ascii="Verdana" w:hAnsi="Verdana"/>
          <w:b/>
          <w:bCs/>
          <w:sz w:val="20"/>
          <w:szCs w:val="20"/>
        </w:rPr>
        <w:lastRenderedPageBreak/>
        <w:t xml:space="preserve">Depósitos a plazo de </w:t>
      </w:r>
      <w:r w:rsidR="005A3DA4">
        <w:rPr>
          <w:rFonts w:ascii="Verdana" w:hAnsi="Verdana"/>
          <w:b/>
          <w:bCs/>
          <w:sz w:val="20"/>
          <w:szCs w:val="20"/>
        </w:rPr>
        <w:t>e</w:t>
      </w:r>
      <w:r w:rsidRPr="001E0BCC">
        <w:rPr>
          <w:rFonts w:ascii="Verdana" w:hAnsi="Verdana"/>
          <w:b/>
          <w:bCs/>
          <w:sz w:val="20"/>
          <w:szCs w:val="20"/>
        </w:rPr>
        <w:t xml:space="preserve">ntidades </w:t>
      </w:r>
      <w:r w:rsidR="005A3DA4">
        <w:rPr>
          <w:rFonts w:ascii="Verdana" w:hAnsi="Verdana"/>
          <w:b/>
          <w:bCs/>
          <w:sz w:val="20"/>
          <w:szCs w:val="20"/>
        </w:rPr>
        <w:t>f</w:t>
      </w:r>
      <w:r w:rsidRPr="001E0BCC">
        <w:rPr>
          <w:rFonts w:ascii="Verdana" w:hAnsi="Verdana"/>
          <w:b/>
          <w:bCs/>
          <w:sz w:val="20"/>
          <w:szCs w:val="20"/>
        </w:rPr>
        <w:t xml:space="preserve">inancieras </w:t>
      </w:r>
      <w:r w:rsidR="005A3DA4">
        <w:rPr>
          <w:rFonts w:ascii="Verdana" w:hAnsi="Verdana"/>
          <w:b/>
          <w:bCs/>
          <w:sz w:val="20"/>
          <w:szCs w:val="20"/>
        </w:rPr>
        <w:t>v</w:t>
      </w:r>
      <w:r w:rsidRPr="001E0BCC">
        <w:rPr>
          <w:rFonts w:ascii="Verdana" w:hAnsi="Verdana"/>
          <w:b/>
          <w:bCs/>
          <w:sz w:val="20"/>
          <w:szCs w:val="20"/>
        </w:rPr>
        <w:t>igiladas</w:t>
      </w:r>
    </w:p>
    <w:p w14:paraId="2FDA00D7" w14:textId="54D9B608" w:rsidR="006711CB" w:rsidRPr="00964B84" w:rsidRDefault="006711CB" w:rsidP="006711CB">
      <w:pPr>
        <w:spacing w:after="0"/>
        <w:rPr>
          <w:rFonts w:ascii="Verdana" w:hAnsi="Verdana"/>
          <w:sz w:val="20"/>
          <w:szCs w:val="20"/>
        </w:rPr>
      </w:pPr>
      <w:r w:rsidRPr="688A6030">
        <w:rPr>
          <w:rFonts w:ascii="Verdana" w:hAnsi="Verdana"/>
          <w:sz w:val="20"/>
          <w:szCs w:val="20"/>
        </w:rPr>
        <w:t>1.1.A12.</w:t>
      </w:r>
      <w:r w:rsidR="1E0041D5" w:rsidRPr="688A6030">
        <w:rPr>
          <w:rFonts w:ascii="Verdana" w:hAnsi="Verdana"/>
          <w:sz w:val="20"/>
          <w:szCs w:val="20"/>
        </w:rPr>
        <w:t>1</w:t>
      </w:r>
      <w:r w:rsidR="00702C14">
        <w:rPr>
          <w:rFonts w:ascii="Verdana" w:hAnsi="Verdana"/>
          <w:sz w:val="20"/>
          <w:szCs w:val="20"/>
        </w:rPr>
        <w:t>5</w:t>
      </w:r>
      <w:r w:rsidRPr="688A6030">
        <w:rPr>
          <w:rFonts w:ascii="Verdana" w:hAnsi="Verdana"/>
          <w:sz w:val="20"/>
          <w:szCs w:val="20"/>
        </w:rPr>
        <w:t>.</w:t>
      </w:r>
    </w:p>
    <w:p w14:paraId="4C2745E5" w14:textId="3AF979C5" w:rsidR="00912847" w:rsidRPr="00912847" w:rsidRDefault="00912847" w:rsidP="00B85046">
      <w:pPr>
        <w:tabs>
          <w:tab w:val="left" w:pos="8647"/>
        </w:tabs>
        <w:jc w:val="both"/>
        <w:rPr>
          <w:rFonts w:ascii="Verdana" w:hAnsi="Verdana"/>
          <w:sz w:val="20"/>
          <w:szCs w:val="20"/>
        </w:rPr>
      </w:pPr>
      <w:r w:rsidRPr="00912847">
        <w:rPr>
          <w:rFonts w:ascii="Verdana" w:hAnsi="Verdana"/>
          <w:sz w:val="20"/>
          <w:szCs w:val="20"/>
        </w:rPr>
        <w:t xml:space="preserve">Para efecto del cálculo del CFEN, los depósitos a plazo de Entidades Financieras Vigiladas </w:t>
      </w:r>
      <w:r w:rsidR="00D106ED">
        <w:rPr>
          <w:rFonts w:ascii="Verdana" w:hAnsi="Verdana"/>
          <w:sz w:val="20"/>
          <w:szCs w:val="20"/>
        </w:rPr>
        <w:t>corresponden a los depósitos de todas las entidades vigiladas por la SFC</w:t>
      </w:r>
      <w:r w:rsidR="00266209">
        <w:rPr>
          <w:rFonts w:ascii="Verdana" w:hAnsi="Verdana"/>
          <w:sz w:val="20"/>
          <w:szCs w:val="20"/>
        </w:rPr>
        <w:t>,</w:t>
      </w:r>
      <w:r w:rsidR="00D106ED" w:rsidRPr="00912847">
        <w:rPr>
          <w:rFonts w:ascii="Verdana" w:hAnsi="Verdana"/>
          <w:sz w:val="20"/>
          <w:szCs w:val="20"/>
        </w:rPr>
        <w:t xml:space="preserve"> </w:t>
      </w:r>
      <w:r w:rsidRPr="00912847">
        <w:rPr>
          <w:rFonts w:ascii="Verdana" w:hAnsi="Verdana"/>
          <w:sz w:val="20"/>
          <w:szCs w:val="20"/>
        </w:rPr>
        <w:t>incluyen</w:t>
      </w:r>
      <w:r w:rsidR="00F74551">
        <w:rPr>
          <w:rFonts w:ascii="Verdana" w:hAnsi="Verdana"/>
          <w:sz w:val="20"/>
          <w:szCs w:val="20"/>
        </w:rPr>
        <w:t>do</w:t>
      </w:r>
      <w:r w:rsidR="00FD7EE8">
        <w:rPr>
          <w:rFonts w:ascii="Verdana" w:hAnsi="Verdana"/>
          <w:sz w:val="20"/>
          <w:szCs w:val="20"/>
        </w:rPr>
        <w:t xml:space="preserve">, </w:t>
      </w:r>
      <w:r w:rsidR="00F74551">
        <w:rPr>
          <w:rFonts w:ascii="Verdana" w:hAnsi="Verdana"/>
          <w:sz w:val="20"/>
          <w:szCs w:val="20"/>
        </w:rPr>
        <w:t>además</w:t>
      </w:r>
      <w:r w:rsidR="00BC6372">
        <w:rPr>
          <w:rFonts w:ascii="Verdana" w:hAnsi="Verdana"/>
          <w:sz w:val="20"/>
          <w:szCs w:val="20"/>
        </w:rPr>
        <w:t>,</w:t>
      </w:r>
      <w:r w:rsidRPr="00912847">
        <w:rPr>
          <w:rFonts w:ascii="Verdana" w:hAnsi="Verdana"/>
          <w:sz w:val="20"/>
          <w:szCs w:val="20"/>
        </w:rPr>
        <w:t xml:space="preserve"> los depósitos a plazo que corresponden a recursos de fondos de pensiones obligatorias, fondos voluntarios de </w:t>
      </w:r>
      <w:r w:rsidR="003745A4">
        <w:rPr>
          <w:rFonts w:ascii="Verdana" w:hAnsi="Verdana"/>
          <w:sz w:val="20"/>
          <w:szCs w:val="20"/>
        </w:rPr>
        <w:t>pensiones</w:t>
      </w:r>
      <w:r w:rsidRPr="00912847">
        <w:rPr>
          <w:rFonts w:ascii="Verdana" w:hAnsi="Verdana"/>
          <w:sz w:val="20"/>
          <w:szCs w:val="20"/>
        </w:rPr>
        <w:t>, fondos de cesantías, fondos de inversión colectiva, fondos de capital privado, negocios fiduciarios y recursos del Fondo Nacional de Pensiones de la Entidades Territoriales (FONPET). Se excluyen de dicho concepto, los depósitos a plazo que correspondan a recursos de los fondos de inversión colectiva abiertos sin pacto de permanencia.</w:t>
      </w:r>
    </w:p>
    <w:p w14:paraId="3ED77666" w14:textId="4F755A7F" w:rsidR="00912847" w:rsidRPr="001E0BCC" w:rsidRDefault="00912847" w:rsidP="001E0BCC">
      <w:pPr>
        <w:pStyle w:val="Prrafodelista"/>
        <w:numPr>
          <w:ilvl w:val="0"/>
          <w:numId w:val="15"/>
        </w:numPr>
        <w:ind w:left="284" w:hanging="284"/>
        <w:jc w:val="both"/>
        <w:rPr>
          <w:rFonts w:ascii="Verdana" w:hAnsi="Verdana"/>
          <w:b/>
          <w:bCs/>
          <w:sz w:val="20"/>
          <w:szCs w:val="20"/>
        </w:rPr>
      </w:pPr>
      <w:r w:rsidRPr="001E0BCC">
        <w:rPr>
          <w:rFonts w:ascii="Verdana" w:hAnsi="Verdana"/>
          <w:b/>
          <w:bCs/>
          <w:sz w:val="20"/>
          <w:szCs w:val="20"/>
        </w:rPr>
        <w:t>Tratamiento de los derivados pasivos para efectos del FED</w:t>
      </w:r>
    </w:p>
    <w:p w14:paraId="346288CB" w14:textId="2C00148A" w:rsidR="00360C76" w:rsidRPr="00964B84" w:rsidRDefault="00360C76" w:rsidP="00360C76">
      <w:pPr>
        <w:spacing w:after="0"/>
        <w:rPr>
          <w:rFonts w:ascii="Verdana" w:hAnsi="Verdana"/>
          <w:sz w:val="20"/>
          <w:szCs w:val="20"/>
        </w:rPr>
      </w:pPr>
      <w:r w:rsidRPr="688A6030">
        <w:rPr>
          <w:rFonts w:ascii="Verdana" w:hAnsi="Verdana"/>
          <w:sz w:val="20"/>
          <w:szCs w:val="20"/>
        </w:rPr>
        <w:t>1.1.A12.</w:t>
      </w:r>
      <w:r w:rsidR="6E72C391" w:rsidRPr="688A6030">
        <w:rPr>
          <w:rFonts w:ascii="Verdana" w:hAnsi="Verdana"/>
          <w:sz w:val="20"/>
          <w:szCs w:val="20"/>
        </w:rPr>
        <w:t>1</w:t>
      </w:r>
      <w:r w:rsidR="00702C14">
        <w:rPr>
          <w:rFonts w:ascii="Verdana" w:hAnsi="Verdana"/>
          <w:sz w:val="20"/>
          <w:szCs w:val="20"/>
        </w:rPr>
        <w:t>6</w:t>
      </w:r>
      <w:r w:rsidRPr="688A6030">
        <w:rPr>
          <w:rFonts w:ascii="Verdana" w:hAnsi="Verdana"/>
          <w:sz w:val="20"/>
          <w:szCs w:val="20"/>
        </w:rPr>
        <w:t>.</w:t>
      </w:r>
    </w:p>
    <w:p w14:paraId="13B78EA3" w14:textId="11470C2B" w:rsidR="00912847" w:rsidRPr="00912847" w:rsidRDefault="00912847" w:rsidP="00912847">
      <w:pPr>
        <w:jc w:val="both"/>
        <w:rPr>
          <w:rFonts w:ascii="Verdana" w:hAnsi="Verdana"/>
          <w:sz w:val="20"/>
          <w:szCs w:val="20"/>
        </w:rPr>
      </w:pPr>
      <w:r w:rsidRPr="688A6030">
        <w:rPr>
          <w:rFonts w:ascii="Verdana" w:hAnsi="Verdana"/>
          <w:sz w:val="20"/>
          <w:szCs w:val="20"/>
        </w:rPr>
        <w:t xml:space="preserve">Los derivados pasivos se calculan con base en su valor razonable. Para calcular el monto de los derivados pasivos para efectos del FED, primero deben descontarse las garantías totales constituidas por concepto </w:t>
      </w:r>
      <w:r w:rsidRPr="00667822">
        <w:rPr>
          <w:rFonts w:ascii="Verdana" w:hAnsi="Verdana"/>
          <w:sz w:val="20"/>
          <w:szCs w:val="20"/>
        </w:rPr>
        <w:t xml:space="preserve">de margen de variación y posteriormente hacerse el neteo con el monto de derivados activos (calculados con base en </w:t>
      </w:r>
      <w:r w:rsidR="00BC51E7" w:rsidRPr="00667822">
        <w:rPr>
          <w:rFonts w:ascii="Verdana" w:hAnsi="Verdana"/>
          <w:sz w:val="20"/>
          <w:szCs w:val="20"/>
        </w:rPr>
        <w:t>los párrafos</w:t>
      </w:r>
      <w:r w:rsidR="00BC51E7">
        <w:rPr>
          <w:rFonts w:ascii="Verdana" w:hAnsi="Verdana"/>
          <w:sz w:val="20"/>
          <w:szCs w:val="20"/>
        </w:rPr>
        <w:t xml:space="preserve"> 1.1.A1</w:t>
      </w:r>
      <w:r w:rsidR="00667822">
        <w:rPr>
          <w:rFonts w:ascii="Verdana" w:hAnsi="Verdana"/>
          <w:sz w:val="20"/>
          <w:szCs w:val="20"/>
        </w:rPr>
        <w:t>2.46. y 1.1.A12.47.</w:t>
      </w:r>
      <w:r w:rsidRPr="688A6030">
        <w:rPr>
          <w:rFonts w:ascii="Verdana" w:hAnsi="Verdana"/>
          <w:sz w:val="20"/>
          <w:szCs w:val="20"/>
        </w:rPr>
        <w:t>), siempre y cuando el monto pasivo sea superior al monto activo. En caso contrario, el monto de derivados pasivos para efectos del FED será cero.</w:t>
      </w:r>
    </w:p>
    <w:p w14:paraId="69FF857D" w14:textId="31ADBB62" w:rsidR="00912847" w:rsidRPr="00C10C64" w:rsidRDefault="00912847" w:rsidP="00C10C64">
      <w:pPr>
        <w:pStyle w:val="Prrafodelista"/>
        <w:numPr>
          <w:ilvl w:val="0"/>
          <w:numId w:val="15"/>
        </w:numPr>
        <w:ind w:left="284" w:hanging="284"/>
        <w:jc w:val="both"/>
        <w:rPr>
          <w:rFonts w:ascii="Verdana" w:hAnsi="Verdana"/>
          <w:b/>
          <w:bCs/>
          <w:sz w:val="20"/>
          <w:szCs w:val="20"/>
        </w:rPr>
      </w:pPr>
      <w:r w:rsidRPr="00C10C64">
        <w:rPr>
          <w:rFonts w:ascii="Verdana" w:hAnsi="Verdana"/>
          <w:b/>
          <w:bCs/>
          <w:sz w:val="20"/>
          <w:szCs w:val="20"/>
        </w:rPr>
        <w:t>Tratamiento de los depósitos a la vista de negocios de fiducia en garantía, fiducia de administración y fiducia inmobiliaria</w:t>
      </w:r>
    </w:p>
    <w:p w14:paraId="70FA754A" w14:textId="7527392E" w:rsidR="00D50B23" w:rsidRPr="00964B84" w:rsidRDefault="00D50B23" w:rsidP="00D50B23">
      <w:pPr>
        <w:spacing w:after="0"/>
        <w:rPr>
          <w:rFonts w:ascii="Verdana" w:hAnsi="Verdana"/>
          <w:sz w:val="20"/>
          <w:szCs w:val="20"/>
        </w:rPr>
      </w:pPr>
      <w:r w:rsidRPr="688A6030">
        <w:rPr>
          <w:rFonts w:ascii="Verdana" w:hAnsi="Verdana"/>
          <w:sz w:val="20"/>
          <w:szCs w:val="20"/>
        </w:rPr>
        <w:t>1.1.A12.</w:t>
      </w:r>
      <w:r w:rsidR="36D439E8" w:rsidRPr="688A6030">
        <w:rPr>
          <w:rFonts w:ascii="Verdana" w:hAnsi="Verdana"/>
          <w:sz w:val="20"/>
          <w:szCs w:val="20"/>
        </w:rPr>
        <w:t>1</w:t>
      </w:r>
      <w:r w:rsidR="00702C14">
        <w:rPr>
          <w:rFonts w:ascii="Verdana" w:hAnsi="Verdana"/>
          <w:sz w:val="20"/>
          <w:szCs w:val="20"/>
        </w:rPr>
        <w:t>7</w:t>
      </w:r>
      <w:r w:rsidRPr="688A6030">
        <w:rPr>
          <w:rFonts w:ascii="Verdana" w:hAnsi="Verdana"/>
          <w:sz w:val="20"/>
          <w:szCs w:val="20"/>
        </w:rPr>
        <w:t>.</w:t>
      </w:r>
    </w:p>
    <w:p w14:paraId="448B7CBA" w14:textId="6A8D898B" w:rsidR="00912847" w:rsidRPr="00912847" w:rsidRDefault="00912847" w:rsidP="00912847">
      <w:pPr>
        <w:jc w:val="both"/>
        <w:rPr>
          <w:rFonts w:ascii="Verdana" w:hAnsi="Verdana"/>
          <w:sz w:val="20"/>
          <w:szCs w:val="20"/>
        </w:rPr>
      </w:pPr>
      <w:r w:rsidRPr="00912847">
        <w:rPr>
          <w:rFonts w:ascii="Verdana" w:hAnsi="Verdana"/>
          <w:sz w:val="20"/>
          <w:szCs w:val="20"/>
        </w:rPr>
        <w:t>Las entidades podrán calcular y aplicar un factor diferente a los depósitos a la vista de las siguientes líneas de negocio:</w:t>
      </w:r>
    </w:p>
    <w:p w14:paraId="5268B618" w14:textId="081869BA" w:rsidR="00912847" w:rsidRPr="00912847" w:rsidRDefault="00912847" w:rsidP="004D1425">
      <w:pPr>
        <w:pStyle w:val="Prrafodelista"/>
        <w:numPr>
          <w:ilvl w:val="0"/>
          <w:numId w:val="12"/>
        </w:numPr>
        <w:spacing w:after="0" w:line="240" w:lineRule="auto"/>
        <w:ind w:left="567" w:hanging="567"/>
        <w:jc w:val="both"/>
        <w:rPr>
          <w:rFonts w:ascii="Verdana" w:hAnsi="Verdana"/>
          <w:sz w:val="20"/>
          <w:szCs w:val="20"/>
        </w:rPr>
      </w:pPr>
      <w:r w:rsidRPr="00912847">
        <w:rPr>
          <w:rFonts w:ascii="Verdana" w:hAnsi="Verdana"/>
          <w:sz w:val="20"/>
          <w:szCs w:val="20"/>
        </w:rPr>
        <w:t>Fiducia inmobiliaria</w:t>
      </w:r>
    </w:p>
    <w:p w14:paraId="48C725A2" w14:textId="77777777" w:rsidR="00C10C64" w:rsidRDefault="00C10C64" w:rsidP="00C10C64">
      <w:pPr>
        <w:pStyle w:val="Prrafodelista"/>
        <w:spacing w:after="0" w:line="240" w:lineRule="auto"/>
        <w:ind w:left="567"/>
        <w:jc w:val="both"/>
        <w:rPr>
          <w:rFonts w:ascii="Verdana" w:hAnsi="Verdana"/>
          <w:sz w:val="20"/>
          <w:szCs w:val="20"/>
        </w:rPr>
      </w:pPr>
    </w:p>
    <w:p w14:paraId="161E9D00" w14:textId="07B42F3E" w:rsidR="00912847" w:rsidRPr="00912847" w:rsidRDefault="00912847" w:rsidP="004D1425">
      <w:pPr>
        <w:pStyle w:val="Prrafodelista"/>
        <w:numPr>
          <w:ilvl w:val="0"/>
          <w:numId w:val="12"/>
        </w:numPr>
        <w:spacing w:after="0" w:line="240" w:lineRule="auto"/>
        <w:ind w:left="567" w:hanging="567"/>
        <w:jc w:val="both"/>
        <w:rPr>
          <w:rFonts w:ascii="Verdana" w:hAnsi="Verdana"/>
          <w:sz w:val="20"/>
          <w:szCs w:val="20"/>
        </w:rPr>
      </w:pPr>
      <w:r w:rsidRPr="00912847">
        <w:rPr>
          <w:rFonts w:ascii="Verdana" w:hAnsi="Verdana"/>
          <w:sz w:val="20"/>
          <w:szCs w:val="20"/>
        </w:rPr>
        <w:t>Fiducia de administración</w:t>
      </w:r>
    </w:p>
    <w:p w14:paraId="4B1595CA" w14:textId="77777777" w:rsidR="00C10C64" w:rsidRDefault="00C10C64" w:rsidP="00C10C64">
      <w:pPr>
        <w:pStyle w:val="Prrafodelista"/>
        <w:spacing w:after="0" w:line="240" w:lineRule="auto"/>
        <w:ind w:left="567"/>
        <w:jc w:val="both"/>
        <w:rPr>
          <w:rFonts w:ascii="Verdana" w:hAnsi="Verdana"/>
          <w:sz w:val="20"/>
          <w:szCs w:val="20"/>
        </w:rPr>
      </w:pPr>
    </w:p>
    <w:p w14:paraId="2F79BA28" w14:textId="25B82B8C" w:rsidR="00912847" w:rsidRPr="00912847" w:rsidRDefault="00912847" w:rsidP="004D1425">
      <w:pPr>
        <w:pStyle w:val="Prrafodelista"/>
        <w:numPr>
          <w:ilvl w:val="0"/>
          <w:numId w:val="12"/>
        </w:numPr>
        <w:spacing w:after="0" w:line="240" w:lineRule="auto"/>
        <w:ind w:left="567" w:hanging="567"/>
        <w:jc w:val="both"/>
        <w:rPr>
          <w:rFonts w:ascii="Verdana" w:hAnsi="Verdana"/>
          <w:sz w:val="20"/>
          <w:szCs w:val="20"/>
        </w:rPr>
      </w:pPr>
      <w:r w:rsidRPr="00912847">
        <w:rPr>
          <w:rFonts w:ascii="Verdana" w:hAnsi="Verdana"/>
          <w:sz w:val="20"/>
          <w:szCs w:val="20"/>
        </w:rPr>
        <w:t>Fiducia en garantía</w:t>
      </w:r>
    </w:p>
    <w:p w14:paraId="7E00EAE8" w14:textId="77777777" w:rsidR="00C10C64" w:rsidRDefault="00C10C64" w:rsidP="004D1425">
      <w:pPr>
        <w:spacing w:after="0"/>
        <w:rPr>
          <w:rFonts w:ascii="Verdana" w:hAnsi="Verdana"/>
          <w:sz w:val="20"/>
          <w:szCs w:val="20"/>
        </w:rPr>
      </w:pPr>
    </w:p>
    <w:p w14:paraId="333512B9" w14:textId="5CF479D3" w:rsidR="004D1425" w:rsidRPr="00964B84" w:rsidRDefault="004D1425" w:rsidP="004D1425">
      <w:pPr>
        <w:spacing w:after="0"/>
        <w:rPr>
          <w:rFonts w:ascii="Verdana" w:hAnsi="Verdana"/>
          <w:sz w:val="20"/>
          <w:szCs w:val="20"/>
        </w:rPr>
      </w:pPr>
      <w:r w:rsidRPr="688A6030">
        <w:rPr>
          <w:rFonts w:ascii="Verdana" w:hAnsi="Verdana"/>
          <w:sz w:val="20"/>
          <w:szCs w:val="20"/>
        </w:rPr>
        <w:t>1.1.A12.</w:t>
      </w:r>
      <w:r w:rsidR="2D12BEBE" w:rsidRPr="688A6030">
        <w:rPr>
          <w:rFonts w:ascii="Verdana" w:hAnsi="Verdana"/>
          <w:sz w:val="20"/>
          <w:szCs w:val="20"/>
        </w:rPr>
        <w:t>1</w:t>
      </w:r>
      <w:r w:rsidR="00702C14">
        <w:rPr>
          <w:rFonts w:ascii="Verdana" w:hAnsi="Verdana"/>
          <w:sz w:val="20"/>
          <w:szCs w:val="20"/>
        </w:rPr>
        <w:t>8</w:t>
      </w:r>
      <w:r w:rsidRPr="688A6030">
        <w:rPr>
          <w:rFonts w:ascii="Verdana" w:hAnsi="Verdana"/>
          <w:sz w:val="20"/>
          <w:szCs w:val="20"/>
        </w:rPr>
        <w:t>.</w:t>
      </w:r>
    </w:p>
    <w:p w14:paraId="230EC80E" w14:textId="571D0253" w:rsidR="00912847" w:rsidRPr="004B5CF4" w:rsidRDefault="00912847" w:rsidP="00912847">
      <w:pPr>
        <w:jc w:val="both"/>
        <w:rPr>
          <w:rFonts w:ascii="Verdana" w:hAnsi="Verdana"/>
          <w:sz w:val="20"/>
          <w:szCs w:val="20"/>
        </w:rPr>
      </w:pPr>
      <w:r w:rsidRPr="11388FA0">
        <w:rPr>
          <w:rFonts w:ascii="Verdana" w:hAnsi="Verdana"/>
          <w:sz w:val="20"/>
          <w:szCs w:val="20"/>
        </w:rPr>
        <w:t>Para definir el factor aplicable con una periodicidad anual o con la periodicidad que la SFC lo requiera, las entidades deben realizar el siguiente procedimiento: (i) calcular el “factor estimado” bajo la metodología de referencia de que trata</w:t>
      </w:r>
      <w:r w:rsidR="00272B0E">
        <w:rPr>
          <w:rFonts w:ascii="Verdana" w:hAnsi="Verdana"/>
          <w:sz w:val="20"/>
          <w:szCs w:val="20"/>
        </w:rPr>
        <w:t>n los párrafos del 1.1.A12.19. al 1.1.A12.25.</w:t>
      </w:r>
      <w:r w:rsidRPr="11388FA0">
        <w:rPr>
          <w:rFonts w:ascii="Verdana" w:hAnsi="Verdana"/>
          <w:sz w:val="20"/>
          <w:szCs w:val="20"/>
        </w:rPr>
        <w:t xml:space="preserve">; (ii) comparar dicho resultado con el “factor de referencia” definido en la tabla del </w:t>
      </w:r>
      <w:r w:rsidR="00950EF3">
        <w:rPr>
          <w:rFonts w:ascii="Verdana" w:hAnsi="Verdana"/>
          <w:sz w:val="20"/>
          <w:szCs w:val="20"/>
        </w:rPr>
        <w:t>párrafo 1.1.A12.</w:t>
      </w:r>
      <w:r w:rsidR="008F0BE8">
        <w:rPr>
          <w:rFonts w:ascii="Verdana" w:hAnsi="Verdana"/>
          <w:sz w:val="20"/>
          <w:szCs w:val="20"/>
        </w:rPr>
        <w:t>26.</w:t>
      </w:r>
      <w:r w:rsidRPr="11388FA0">
        <w:rPr>
          <w:rFonts w:ascii="Verdana" w:hAnsi="Verdana"/>
          <w:sz w:val="20"/>
          <w:szCs w:val="20"/>
        </w:rPr>
        <w:t xml:space="preserve">; y (iii) tomar el factor aplicable, es decir, aquel que resulte menor entre el calculado por la entidad (factor estimado) y el factor de referencia. En caso de que la entidad no pueda o decida por política interna no calcular un factor para una determinada línea de negocio, el factor aplicable será 25% y se incluirá </w:t>
      </w:r>
      <w:r w:rsidRPr="00D761DC">
        <w:rPr>
          <w:rFonts w:ascii="Verdana" w:hAnsi="Verdana"/>
          <w:sz w:val="20"/>
          <w:szCs w:val="20"/>
        </w:rPr>
        <w:t>en el rubro 45 de</w:t>
      </w:r>
      <w:r w:rsidR="00D761DC">
        <w:rPr>
          <w:rFonts w:ascii="Verdana" w:hAnsi="Verdana"/>
          <w:sz w:val="20"/>
          <w:szCs w:val="20"/>
        </w:rPr>
        <w:t xml:space="preserve"> la tabla de</w:t>
      </w:r>
      <w:r w:rsidRPr="00D761DC">
        <w:rPr>
          <w:rFonts w:ascii="Verdana" w:hAnsi="Verdana"/>
          <w:sz w:val="20"/>
          <w:szCs w:val="20"/>
        </w:rPr>
        <w:t xml:space="preserve">l </w:t>
      </w:r>
      <w:r w:rsidR="00D761DC" w:rsidRPr="00D761DC">
        <w:rPr>
          <w:rFonts w:ascii="Verdana" w:hAnsi="Verdana"/>
          <w:sz w:val="20"/>
          <w:szCs w:val="20"/>
        </w:rPr>
        <w:t>párrafo</w:t>
      </w:r>
      <w:r w:rsidR="00D761DC">
        <w:rPr>
          <w:rFonts w:ascii="Verdana" w:hAnsi="Verdana"/>
          <w:sz w:val="20"/>
          <w:szCs w:val="20"/>
        </w:rPr>
        <w:t xml:space="preserve"> 1.1.A12.13.</w:t>
      </w:r>
    </w:p>
    <w:p w14:paraId="329C1CB8" w14:textId="53BE53B0" w:rsidR="006B530C" w:rsidRPr="00964B84" w:rsidRDefault="006B530C" w:rsidP="006B530C">
      <w:pPr>
        <w:spacing w:after="0"/>
        <w:rPr>
          <w:rFonts w:ascii="Verdana" w:hAnsi="Verdana"/>
          <w:sz w:val="20"/>
          <w:szCs w:val="20"/>
        </w:rPr>
      </w:pPr>
      <w:r w:rsidRPr="688A6030">
        <w:rPr>
          <w:rFonts w:ascii="Verdana" w:hAnsi="Verdana"/>
          <w:sz w:val="20"/>
          <w:szCs w:val="20"/>
        </w:rPr>
        <w:t>1.1.A12.</w:t>
      </w:r>
      <w:r w:rsidR="2ABED800" w:rsidRPr="688A6030">
        <w:rPr>
          <w:rFonts w:ascii="Verdana" w:hAnsi="Verdana"/>
          <w:sz w:val="20"/>
          <w:szCs w:val="20"/>
        </w:rPr>
        <w:t>1</w:t>
      </w:r>
      <w:r w:rsidR="00702C14">
        <w:rPr>
          <w:rFonts w:ascii="Verdana" w:hAnsi="Verdana"/>
          <w:sz w:val="20"/>
          <w:szCs w:val="20"/>
        </w:rPr>
        <w:t>9</w:t>
      </w:r>
      <w:r w:rsidRPr="688A6030">
        <w:rPr>
          <w:rFonts w:ascii="Verdana" w:hAnsi="Verdana"/>
          <w:sz w:val="20"/>
          <w:szCs w:val="20"/>
        </w:rPr>
        <w:t>.</w:t>
      </w:r>
    </w:p>
    <w:p w14:paraId="4C57EF9A" w14:textId="77777777" w:rsidR="00912847" w:rsidRPr="00912847" w:rsidRDefault="00912847" w:rsidP="00912847">
      <w:pPr>
        <w:jc w:val="both"/>
        <w:rPr>
          <w:rFonts w:ascii="Verdana" w:hAnsi="Verdana"/>
          <w:sz w:val="20"/>
          <w:szCs w:val="20"/>
        </w:rPr>
      </w:pPr>
      <w:r w:rsidRPr="00912847">
        <w:rPr>
          <w:rFonts w:ascii="Verdana" w:hAnsi="Verdana"/>
          <w:sz w:val="20"/>
          <w:szCs w:val="20"/>
        </w:rPr>
        <w:t>El factor aplicable por cada línea de negocio se calcula de acuerdo con la siguiente fórmula:</w:t>
      </w:r>
    </w:p>
    <w:p w14:paraId="648FC3A1" w14:textId="0561CFD1" w:rsidR="00912847" w:rsidRPr="00C10C64" w:rsidRDefault="00B06431" w:rsidP="00912847">
      <w:pPr>
        <w:jc w:val="center"/>
        <w:rPr>
          <w:rFonts w:ascii="Verdana" w:hAnsi="Verdana"/>
          <w:sz w:val="20"/>
          <w:szCs w:val="20"/>
        </w:rPr>
      </w:pPr>
      <m:oMathPara>
        <m:oMath>
          <m:sSub>
            <m:sSubPr>
              <m:ctrlPr>
                <w:rPr>
                  <w:rFonts w:ascii="Cambria Math" w:hAnsi="Cambria Math"/>
                  <w:sz w:val="20"/>
                  <w:szCs w:val="20"/>
                </w:rPr>
              </m:ctrlPr>
            </m:sSubPr>
            <m:e>
              <m:r>
                <w:rPr>
                  <w:rFonts w:ascii="Cambria Math" w:hAnsi="Cambria Math"/>
                  <w:sz w:val="20"/>
                  <w:szCs w:val="20"/>
                </w:rPr>
                <m:t>Factor</m:t>
              </m:r>
              <m:r>
                <m:rPr>
                  <m:sty m:val="p"/>
                </m:rPr>
                <w:rPr>
                  <w:rFonts w:ascii="Cambria Math" w:hAnsi="Cambria Math"/>
                  <w:sz w:val="20"/>
                  <w:szCs w:val="20"/>
                </w:rPr>
                <m:t xml:space="preserve"> </m:t>
              </m:r>
              <m:r>
                <w:rPr>
                  <w:rFonts w:ascii="Cambria Math" w:hAnsi="Cambria Math"/>
                  <w:sz w:val="20"/>
                  <w:szCs w:val="20"/>
                </w:rPr>
                <m:t>aplicable</m:t>
              </m:r>
            </m:e>
            <m:sub>
              <m:r>
                <w:rPr>
                  <w:rFonts w:ascii="Cambria Math" w:hAnsi="Cambria Math"/>
                  <w:sz w:val="20"/>
                  <w:szCs w:val="20"/>
                </w:rPr>
                <m:t>i</m:t>
              </m:r>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Factor</m:t>
                  </m:r>
                  <m:r>
                    <m:rPr>
                      <m:sty m:val="p"/>
                    </m:rPr>
                    <w:rPr>
                      <w:rFonts w:ascii="Cambria Math" w:hAnsi="Cambria Math"/>
                      <w:sz w:val="20"/>
                      <w:szCs w:val="20"/>
                    </w:rPr>
                    <m:t xml:space="preserve"> </m:t>
                  </m:r>
                  <m:r>
                    <w:rPr>
                      <w:rFonts w:ascii="Cambria Math" w:hAnsi="Cambria Math"/>
                      <w:sz w:val="20"/>
                      <w:szCs w:val="20"/>
                    </w:rPr>
                    <m:t>estimado</m:t>
                  </m:r>
                </m:e>
                <m:sub>
                  <m:r>
                    <w:rPr>
                      <w:rFonts w:ascii="Cambria Math" w:hAnsi="Cambria Math"/>
                      <w:sz w:val="20"/>
                      <w:szCs w:val="20"/>
                    </w:rPr>
                    <m:t>i</m:t>
                  </m:r>
                </m:sub>
              </m:sSub>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Factor</m:t>
                  </m:r>
                  <m:r>
                    <m:rPr>
                      <m:sty m:val="p"/>
                    </m:rPr>
                    <w:rPr>
                      <w:rFonts w:ascii="Cambria Math" w:hAnsi="Cambria Math"/>
                      <w:sz w:val="20"/>
                      <w:szCs w:val="20"/>
                    </w:rPr>
                    <m:t xml:space="preserve"> </m:t>
                  </m:r>
                  <m:r>
                    <w:rPr>
                      <w:rFonts w:ascii="Cambria Math" w:hAnsi="Cambria Math"/>
                      <w:sz w:val="20"/>
                      <w:szCs w:val="20"/>
                    </w:rPr>
                    <m:t>de</m:t>
                  </m:r>
                  <m:r>
                    <m:rPr>
                      <m:sty m:val="p"/>
                    </m:rPr>
                    <w:rPr>
                      <w:rFonts w:ascii="Cambria Math" w:hAnsi="Cambria Math"/>
                      <w:sz w:val="20"/>
                      <w:szCs w:val="20"/>
                    </w:rPr>
                    <m:t xml:space="preserve"> </m:t>
                  </m:r>
                  <m:r>
                    <w:rPr>
                      <w:rFonts w:ascii="Cambria Math" w:hAnsi="Cambria Math"/>
                      <w:sz w:val="20"/>
                      <w:szCs w:val="20"/>
                    </w:rPr>
                    <m:t>referencia</m:t>
                  </m:r>
                </m:e>
                <m:sub>
                  <m:r>
                    <w:rPr>
                      <w:rFonts w:ascii="Cambria Math" w:hAnsi="Cambria Math"/>
                      <w:sz w:val="20"/>
                      <w:szCs w:val="20"/>
                    </w:rPr>
                    <m:t>i</m:t>
                  </m:r>
                </m:sub>
              </m:sSub>
            </m:e>
          </m:d>
        </m:oMath>
      </m:oMathPara>
    </w:p>
    <w:p w14:paraId="0D72078A" w14:textId="77777777" w:rsidR="00912847" w:rsidRPr="00912847" w:rsidRDefault="00912847" w:rsidP="00912847">
      <w:pPr>
        <w:jc w:val="both"/>
        <w:rPr>
          <w:rFonts w:ascii="Verdana" w:hAnsi="Verdana"/>
          <w:sz w:val="20"/>
          <w:szCs w:val="20"/>
        </w:rPr>
      </w:pPr>
      <w:r w:rsidRPr="00912847">
        <w:rPr>
          <w:rFonts w:ascii="Verdana" w:hAnsi="Verdana"/>
          <w:sz w:val="20"/>
          <w:szCs w:val="20"/>
        </w:rPr>
        <w:t>Donde:</w:t>
      </w:r>
    </w:p>
    <w:p w14:paraId="61C469B0" w14:textId="7DDE74C1" w:rsidR="00912847" w:rsidRPr="00912847" w:rsidRDefault="00B06431" w:rsidP="00912847">
      <w:pPr>
        <w:jc w:val="both"/>
        <w:rPr>
          <w:rFonts w:ascii="Verdana" w:hAnsi="Verdana"/>
          <w:sz w:val="20"/>
          <w:szCs w:val="20"/>
        </w:rPr>
      </w:pPr>
      <m:oMath>
        <m:sSub>
          <m:sSubPr>
            <m:ctrlPr>
              <w:rPr>
                <w:rFonts w:ascii="Cambria Math" w:hAnsi="Cambria Math"/>
                <w:sz w:val="20"/>
                <w:szCs w:val="20"/>
              </w:rPr>
            </m:ctrlPr>
          </m:sSubPr>
          <m:e>
            <m:r>
              <w:rPr>
                <w:rFonts w:ascii="Cambria Math" w:hAnsi="Cambria Math"/>
                <w:sz w:val="20"/>
                <w:szCs w:val="20"/>
              </w:rPr>
              <m:t>Factor</m:t>
            </m:r>
            <m:r>
              <m:rPr>
                <m:sty m:val="p"/>
              </m:rPr>
              <w:rPr>
                <w:rFonts w:ascii="Cambria Math" w:hAnsi="Cambria Math"/>
                <w:sz w:val="20"/>
                <w:szCs w:val="20"/>
              </w:rPr>
              <m:t xml:space="preserve"> </m:t>
            </m:r>
            <m:r>
              <w:rPr>
                <w:rFonts w:ascii="Cambria Math" w:hAnsi="Cambria Math"/>
                <w:sz w:val="20"/>
                <w:szCs w:val="20"/>
              </w:rPr>
              <m:t>aplicable</m:t>
            </m:r>
          </m:e>
          <m:sub>
            <m:r>
              <w:rPr>
                <w:rFonts w:ascii="Cambria Math" w:hAnsi="Cambria Math"/>
                <w:sz w:val="20"/>
                <w:szCs w:val="20"/>
              </w:rPr>
              <m:t>i</m:t>
            </m:r>
          </m:sub>
        </m:sSub>
      </m:oMath>
      <w:r w:rsidR="00912847" w:rsidRPr="00483C82">
        <w:rPr>
          <w:rFonts w:ascii="Verdana" w:hAnsi="Verdana"/>
          <w:sz w:val="20"/>
          <w:szCs w:val="20"/>
        </w:rPr>
        <w:t>:</w:t>
      </w:r>
      <w:r w:rsidR="00912847" w:rsidRPr="00912847">
        <w:rPr>
          <w:rFonts w:ascii="Verdana" w:hAnsi="Verdana"/>
          <w:sz w:val="20"/>
          <w:szCs w:val="20"/>
        </w:rPr>
        <w:t xml:space="preserve"> </w:t>
      </w:r>
      <w:r w:rsidR="00483C82">
        <w:rPr>
          <w:rFonts w:ascii="Verdana" w:hAnsi="Verdana"/>
          <w:sz w:val="20"/>
          <w:szCs w:val="20"/>
        </w:rPr>
        <w:t>e</w:t>
      </w:r>
      <w:r w:rsidR="00912847" w:rsidRPr="00912847">
        <w:rPr>
          <w:rFonts w:ascii="Verdana" w:hAnsi="Verdana"/>
          <w:sz w:val="20"/>
          <w:szCs w:val="20"/>
        </w:rPr>
        <w:t xml:space="preserve">s el factor aplicable a la línea de negocio </w:t>
      </w:r>
      <m:oMath>
        <m:r>
          <m:rPr>
            <m:sty m:val="bi"/>
          </m:rPr>
          <w:rPr>
            <w:rFonts w:ascii="Cambria Math" w:hAnsi="Cambria Math"/>
            <w:sz w:val="20"/>
            <w:szCs w:val="20"/>
          </w:rPr>
          <m:t>i</m:t>
        </m:r>
      </m:oMath>
      <w:r w:rsidR="00912847" w:rsidRPr="00912847">
        <w:rPr>
          <w:rFonts w:ascii="Verdana" w:hAnsi="Verdana"/>
          <w:sz w:val="20"/>
          <w:szCs w:val="20"/>
        </w:rPr>
        <w:t>.</w:t>
      </w:r>
    </w:p>
    <w:p w14:paraId="674E01F2" w14:textId="28E44348" w:rsidR="00912847" w:rsidRPr="00912847" w:rsidRDefault="00B06431" w:rsidP="00912847">
      <w:pPr>
        <w:jc w:val="both"/>
        <w:rPr>
          <w:rFonts w:ascii="Verdana" w:hAnsi="Verdana"/>
          <w:sz w:val="20"/>
          <w:szCs w:val="20"/>
        </w:rPr>
      </w:pPr>
      <m:oMath>
        <m:sSub>
          <m:sSubPr>
            <m:ctrlPr>
              <w:rPr>
                <w:rFonts w:ascii="Cambria Math" w:hAnsi="Cambria Math"/>
                <w:sz w:val="20"/>
                <w:szCs w:val="20"/>
              </w:rPr>
            </m:ctrlPr>
          </m:sSubPr>
          <m:e>
            <m:r>
              <w:rPr>
                <w:rFonts w:ascii="Cambria Math" w:hAnsi="Cambria Math"/>
                <w:sz w:val="20"/>
                <w:szCs w:val="20"/>
              </w:rPr>
              <m:t>Factor</m:t>
            </m:r>
            <m:r>
              <m:rPr>
                <m:sty m:val="p"/>
              </m:rPr>
              <w:rPr>
                <w:rFonts w:ascii="Cambria Math" w:hAnsi="Cambria Math"/>
                <w:sz w:val="20"/>
                <w:szCs w:val="20"/>
              </w:rPr>
              <m:t xml:space="preserve"> </m:t>
            </m:r>
            <m:r>
              <w:rPr>
                <w:rFonts w:ascii="Cambria Math" w:hAnsi="Cambria Math"/>
                <w:sz w:val="20"/>
                <w:szCs w:val="20"/>
              </w:rPr>
              <m:t>estimado</m:t>
            </m:r>
          </m:e>
          <m:sub>
            <m:r>
              <w:rPr>
                <w:rFonts w:ascii="Cambria Math" w:hAnsi="Cambria Math"/>
                <w:sz w:val="20"/>
                <w:szCs w:val="20"/>
              </w:rPr>
              <m:t>i</m:t>
            </m:r>
          </m:sub>
        </m:sSub>
      </m:oMath>
      <w:r w:rsidR="00912847" w:rsidRPr="00483C82">
        <w:rPr>
          <w:rFonts w:ascii="Verdana" w:hAnsi="Verdana"/>
          <w:sz w:val="20"/>
          <w:szCs w:val="20"/>
        </w:rPr>
        <w:t>:</w:t>
      </w:r>
      <w:r w:rsidR="00912847" w:rsidRPr="00912847">
        <w:rPr>
          <w:rFonts w:ascii="Verdana" w:hAnsi="Verdana"/>
          <w:sz w:val="20"/>
          <w:szCs w:val="20"/>
        </w:rPr>
        <w:t xml:space="preserve"> </w:t>
      </w:r>
      <w:r w:rsidR="00483C82">
        <w:rPr>
          <w:rFonts w:ascii="Verdana" w:hAnsi="Verdana"/>
          <w:sz w:val="20"/>
          <w:szCs w:val="20"/>
        </w:rPr>
        <w:t>e</w:t>
      </w:r>
      <w:r w:rsidR="00912847" w:rsidRPr="00912847">
        <w:rPr>
          <w:rFonts w:ascii="Verdana" w:hAnsi="Verdana"/>
          <w:sz w:val="20"/>
          <w:szCs w:val="20"/>
        </w:rPr>
        <w:t xml:space="preserve">s el factor calculado por la entidad para la línea de negocio </w:t>
      </w:r>
      <m:oMath>
        <m:r>
          <m:rPr>
            <m:sty m:val="bi"/>
          </m:rPr>
          <w:rPr>
            <w:rFonts w:ascii="Cambria Math" w:hAnsi="Cambria Math"/>
            <w:sz w:val="20"/>
            <w:szCs w:val="20"/>
          </w:rPr>
          <m:t>i</m:t>
        </m:r>
      </m:oMath>
      <w:r w:rsidR="00912847" w:rsidRPr="00912847">
        <w:rPr>
          <w:rFonts w:ascii="Verdana" w:hAnsi="Verdana"/>
          <w:sz w:val="20"/>
          <w:szCs w:val="20"/>
        </w:rPr>
        <w:t>, aplicando la metodología de que trata</w:t>
      </w:r>
      <w:r w:rsidR="00A56294">
        <w:rPr>
          <w:rFonts w:ascii="Verdana" w:hAnsi="Verdana"/>
          <w:sz w:val="20"/>
          <w:szCs w:val="20"/>
        </w:rPr>
        <w:t xml:space="preserve">n los párrafos 1.1.A12.20. </w:t>
      </w:r>
      <w:r w:rsidR="00E47BB7">
        <w:rPr>
          <w:rFonts w:ascii="Verdana" w:hAnsi="Verdana"/>
          <w:sz w:val="20"/>
          <w:szCs w:val="20"/>
        </w:rPr>
        <w:t>al</w:t>
      </w:r>
      <w:r w:rsidR="00A56294">
        <w:rPr>
          <w:rFonts w:ascii="Verdana" w:hAnsi="Verdana"/>
          <w:sz w:val="20"/>
          <w:szCs w:val="20"/>
        </w:rPr>
        <w:t xml:space="preserve"> 1.1.A12.</w:t>
      </w:r>
      <w:r w:rsidR="00357A31">
        <w:rPr>
          <w:rFonts w:ascii="Verdana" w:hAnsi="Verdana"/>
          <w:sz w:val="20"/>
          <w:szCs w:val="20"/>
        </w:rPr>
        <w:t>2</w:t>
      </w:r>
      <w:r w:rsidR="00A56294">
        <w:rPr>
          <w:rFonts w:ascii="Verdana" w:hAnsi="Verdana"/>
          <w:sz w:val="20"/>
          <w:szCs w:val="20"/>
        </w:rPr>
        <w:t>6</w:t>
      </w:r>
      <w:r w:rsidR="00912847" w:rsidRPr="00912847">
        <w:rPr>
          <w:rFonts w:ascii="Verdana" w:hAnsi="Verdana"/>
          <w:sz w:val="20"/>
          <w:szCs w:val="20"/>
        </w:rPr>
        <w:t>.</w:t>
      </w:r>
    </w:p>
    <w:p w14:paraId="3A2DFA0F" w14:textId="7F653DC5" w:rsidR="00912847" w:rsidRPr="00912847" w:rsidRDefault="00B06431" w:rsidP="00912847">
      <w:pPr>
        <w:jc w:val="both"/>
        <w:rPr>
          <w:rFonts w:ascii="Verdana" w:hAnsi="Verdana"/>
          <w:sz w:val="20"/>
          <w:szCs w:val="20"/>
        </w:rPr>
      </w:pPr>
      <m:oMath>
        <m:sSub>
          <m:sSubPr>
            <m:ctrlPr>
              <w:rPr>
                <w:rFonts w:ascii="Cambria Math" w:hAnsi="Cambria Math"/>
                <w:sz w:val="20"/>
                <w:szCs w:val="20"/>
              </w:rPr>
            </m:ctrlPr>
          </m:sSubPr>
          <m:e>
            <m:r>
              <w:rPr>
                <w:rFonts w:ascii="Cambria Math" w:hAnsi="Cambria Math"/>
                <w:sz w:val="20"/>
                <w:szCs w:val="20"/>
              </w:rPr>
              <m:t>Factor</m:t>
            </m:r>
            <m:r>
              <m:rPr>
                <m:sty m:val="p"/>
              </m:rPr>
              <w:rPr>
                <w:rFonts w:ascii="Cambria Math" w:hAnsi="Cambria Math"/>
                <w:sz w:val="20"/>
                <w:szCs w:val="20"/>
              </w:rPr>
              <m:t xml:space="preserve"> </m:t>
            </m:r>
            <m:r>
              <w:rPr>
                <w:rFonts w:ascii="Cambria Math" w:hAnsi="Cambria Math"/>
                <w:sz w:val="20"/>
                <w:szCs w:val="20"/>
              </w:rPr>
              <m:t>de</m:t>
            </m:r>
            <m:r>
              <m:rPr>
                <m:sty m:val="p"/>
              </m:rPr>
              <w:rPr>
                <w:rFonts w:ascii="Cambria Math" w:hAnsi="Cambria Math"/>
                <w:sz w:val="20"/>
                <w:szCs w:val="20"/>
              </w:rPr>
              <m:t xml:space="preserve"> </m:t>
            </m:r>
            <m:r>
              <w:rPr>
                <w:rFonts w:ascii="Cambria Math" w:hAnsi="Cambria Math"/>
                <w:sz w:val="20"/>
                <w:szCs w:val="20"/>
              </w:rPr>
              <m:t>referencia</m:t>
            </m:r>
          </m:e>
          <m:sub>
            <m:r>
              <w:rPr>
                <w:rFonts w:ascii="Cambria Math" w:hAnsi="Cambria Math"/>
                <w:sz w:val="20"/>
                <w:szCs w:val="20"/>
              </w:rPr>
              <m:t>i</m:t>
            </m:r>
          </m:sub>
        </m:sSub>
      </m:oMath>
      <w:r w:rsidR="00912847" w:rsidRPr="00483C82">
        <w:rPr>
          <w:rFonts w:ascii="Verdana" w:hAnsi="Verdana"/>
          <w:sz w:val="20"/>
          <w:szCs w:val="20"/>
        </w:rPr>
        <w:t>:</w:t>
      </w:r>
      <w:r w:rsidR="00912847" w:rsidRPr="00912847">
        <w:rPr>
          <w:rFonts w:ascii="Verdana" w:hAnsi="Verdana"/>
          <w:sz w:val="20"/>
          <w:szCs w:val="20"/>
        </w:rPr>
        <w:t xml:space="preserve"> </w:t>
      </w:r>
      <w:r w:rsidR="00483C82">
        <w:rPr>
          <w:rFonts w:ascii="Verdana" w:hAnsi="Verdana"/>
          <w:sz w:val="20"/>
          <w:szCs w:val="20"/>
        </w:rPr>
        <w:t>e</w:t>
      </w:r>
      <w:r w:rsidR="00912847" w:rsidRPr="00912847">
        <w:rPr>
          <w:rFonts w:ascii="Verdana" w:hAnsi="Verdana"/>
          <w:sz w:val="20"/>
          <w:szCs w:val="20"/>
        </w:rPr>
        <w:t xml:space="preserve">s el factor definido en la tabla del </w:t>
      </w:r>
      <w:r w:rsidR="00312FC7">
        <w:rPr>
          <w:rFonts w:ascii="Verdana" w:hAnsi="Verdana"/>
          <w:sz w:val="20"/>
          <w:szCs w:val="20"/>
        </w:rPr>
        <w:t>párra</w:t>
      </w:r>
      <w:r w:rsidR="00746A2C">
        <w:rPr>
          <w:rFonts w:ascii="Verdana" w:hAnsi="Verdana"/>
          <w:sz w:val="20"/>
          <w:szCs w:val="20"/>
        </w:rPr>
        <w:t>fo 1.1.A12.27.</w:t>
      </w:r>
      <w:r w:rsidR="00912847" w:rsidRPr="00912847">
        <w:rPr>
          <w:rFonts w:ascii="Verdana" w:hAnsi="Verdana"/>
          <w:sz w:val="20"/>
          <w:szCs w:val="20"/>
        </w:rPr>
        <w:t xml:space="preserve">, para la línea de negocio </w:t>
      </w:r>
      <m:oMath>
        <m:r>
          <w:rPr>
            <w:rFonts w:ascii="Cambria Math" w:hAnsi="Cambria Math"/>
            <w:sz w:val="20"/>
            <w:szCs w:val="20"/>
          </w:rPr>
          <m:t>i</m:t>
        </m:r>
      </m:oMath>
      <w:r w:rsidR="00912847" w:rsidRPr="00746A2C">
        <w:rPr>
          <w:rFonts w:ascii="Verdana" w:hAnsi="Verdana"/>
          <w:bCs/>
          <w:sz w:val="20"/>
          <w:szCs w:val="20"/>
        </w:rPr>
        <w:t>.</w:t>
      </w:r>
    </w:p>
    <w:p w14:paraId="0E359E8F" w14:textId="2B3EB8BE" w:rsidR="00F8635E" w:rsidRDefault="00483C82" w:rsidP="00483C82">
      <w:pPr>
        <w:jc w:val="both"/>
        <w:rPr>
          <w:rFonts w:ascii="Verdana" w:hAnsi="Verdana"/>
          <w:sz w:val="20"/>
          <w:szCs w:val="20"/>
        </w:rPr>
      </w:pPr>
      <m:oMath>
        <m:r>
          <w:rPr>
            <w:rFonts w:ascii="Cambria Math" w:hAnsi="Cambria Math"/>
            <w:sz w:val="20"/>
            <w:szCs w:val="20"/>
          </w:rPr>
          <m:t>i</m:t>
        </m:r>
      </m:oMath>
      <w:r w:rsidR="00912847" w:rsidRPr="11388FA0">
        <w:rPr>
          <w:rFonts w:ascii="Verdana" w:hAnsi="Verdana"/>
          <w:sz w:val="20"/>
          <w:szCs w:val="20"/>
        </w:rPr>
        <w:t>:</w:t>
      </w:r>
      <w:r w:rsidR="00912847" w:rsidRPr="00912847">
        <w:rPr>
          <w:rFonts w:ascii="Verdana" w:hAnsi="Verdana"/>
          <w:sz w:val="20"/>
          <w:szCs w:val="20"/>
        </w:rPr>
        <w:t xml:space="preserve"> </w:t>
      </w:r>
      <w:r>
        <w:rPr>
          <w:rFonts w:ascii="Verdana" w:hAnsi="Verdana"/>
          <w:sz w:val="20"/>
          <w:szCs w:val="20"/>
        </w:rPr>
        <w:t>es el c</w:t>
      </w:r>
      <w:r w:rsidR="00912847" w:rsidRPr="00912847">
        <w:rPr>
          <w:rFonts w:ascii="Verdana" w:hAnsi="Verdana"/>
          <w:sz w:val="20"/>
          <w:szCs w:val="20"/>
        </w:rPr>
        <w:t xml:space="preserve">onjunto de líneas de negocio. Estas líneas corresponden a la segmentación definida </w:t>
      </w:r>
      <w:r w:rsidR="00760E83">
        <w:rPr>
          <w:rFonts w:ascii="Verdana" w:hAnsi="Verdana"/>
          <w:sz w:val="20"/>
          <w:szCs w:val="20"/>
        </w:rPr>
        <w:t>entre los párrafos 1.1.A12.17. y 1.1.A12.27.</w:t>
      </w:r>
    </w:p>
    <w:p w14:paraId="6F2B329E" w14:textId="77777777" w:rsidR="009578AB" w:rsidRDefault="009578AB" w:rsidP="00483C82">
      <w:pPr>
        <w:jc w:val="both"/>
        <w:rPr>
          <w:rFonts w:ascii="Verdana" w:hAnsi="Verdana"/>
          <w:sz w:val="20"/>
          <w:szCs w:val="20"/>
        </w:rPr>
      </w:pPr>
    </w:p>
    <w:p w14:paraId="60FC7A05" w14:textId="77777777" w:rsidR="009578AB" w:rsidRDefault="009578AB" w:rsidP="00483C82">
      <w:pPr>
        <w:jc w:val="both"/>
        <w:rPr>
          <w:rFonts w:ascii="Verdana" w:hAnsi="Verdana"/>
          <w:sz w:val="20"/>
          <w:szCs w:val="20"/>
        </w:rPr>
      </w:pPr>
    </w:p>
    <w:p w14:paraId="2CF267BF" w14:textId="77777777" w:rsidR="009578AB" w:rsidRDefault="009578AB" w:rsidP="00483C82">
      <w:pPr>
        <w:jc w:val="both"/>
        <w:rPr>
          <w:rFonts w:ascii="Verdana" w:hAnsi="Verdana"/>
          <w:sz w:val="20"/>
          <w:szCs w:val="20"/>
        </w:rPr>
      </w:pPr>
    </w:p>
    <w:p w14:paraId="55663DF6" w14:textId="1AEFEC65" w:rsidR="00912847" w:rsidRPr="00DE32B5" w:rsidRDefault="00912847" w:rsidP="00DE32B5">
      <w:pPr>
        <w:pStyle w:val="Prrafodelista"/>
        <w:numPr>
          <w:ilvl w:val="0"/>
          <w:numId w:val="16"/>
        </w:numPr>
        <w:ind w:left="567" w:hanging="283"/>
        <w:jc w:val="both"/>
        <w:rPr>
          <w:rFonts w:ascii="Verdana" w:hAnsi="Verdana"/>
          <w:b/>
          <w:bCs/>
          <w:sz w:val="20"/>
          <w:szCs w:val="20"/>
        </w:rPr>
      </w:pPr>
      <w:r w:rsidRPr="4E8FF79E">
        <w:rPr>
          <w:rFonts w:ascii="Verdana" w:hAnsi="Verdana"/>
          <w:b/>
          <w:bCs/>
          <w:sz w:val="20"/>
          <w:szCs w:val="20"/>
        </w:rPr>
        <w:lastRenderedPageBreak/>
        <w:t>Metodología de referencia para el cálculo de los factores estimados para los depósitos a la vista de negocios de fiducia en garantía, fiducia de administración y fiducia inmobiliaria</w:t>
      </w:r>
    </w:p>
    <w:p w14:paraId="124E13A1" w14:textId="6C46737D" w:rsidR="00C91F73" w:rsidRPr="00964B84" w:rsidRDefault="00C91F73" w:rsidP="00C91F73">
      <w:pPr>
        <w:spacing w:after="0"/>
        <w:rPr>
          <w:rFonts w:ascii="Verdana" w:hAnsi="Verdana"/>
          <w:sz w:val="20"/>
          <w:szCs w:val="20"/>
        </w:rPr>
      </w:pPr>
      <w:r w:rsidRPr="688A6030">
        <w:rPr>
          <w:rFonts w:ascii="Verdana" w:hAnsi="Verdana"/>
          <w:sz w:val="20"/>
          <w:szCs w:val="20"/>
        </w:rPr>
        <w:t>1.1.A12.</w:t>
      </w:r>
      <w:r w:rsidR="00702C14">
        <w:rPr>
          <w:rFonts w:ascii="Verdana" w:hAnsi="Verdana"/>
          <w:sz w:val="20"/>
          <w:szCs w:val="20"/>
        </w:rPr>
        <w:t>20</w:t>
      </w:r>
      <w:r w:rsidRPr="688A6030">
        <w:rPr>
          <w:rFonts w:ascii="Verdana" w:hAnsi="Verdana"/>
          <w:sz w:val="20"/>
          <w:szCs w:val="20"/>
        </w:rPr>
        <w:t>.</w:t>
      </w:r>
    </w:p>
    <w:p w14:paraId="52E66BDE" w14:textId="787AC16B" w:rsidR="00B168BA" w:rsidRDefault="00912847" w:rsidP="00D55557">
      <w:pPr>
        <w:jc w:val="both"/>
        <w:rPr>
          <w:rFonts w:ascii="Verdana" w:hAnsi="Verdana"/>
          <w:sz w:val="20"/>
          <w:szCs w:val="20"/>
        </w:rPr>
      </w:pPr>
      <w:r w:rsidRPr="00912847">
        <w:rPr>
          <w:rFonts w:ascii="Verdana" w:hAnsi="Verdana"/>
          <w:sz w:val="20"/>
          <w:szCs w:val="20"/>
        </w:rPr>
        <w:t xml:space="preserve">Las entidades deben aplicar la siguiente metodología para calcular el factor estimado para cada una de las líneas de negocio mencionadas en el presente subnumeral: </w:t>
      </w:r>
    </w:p>
    <w:p w14:paraId="47B75516" w14:textId="4032ACBE" w:rsidR="00084227" w:rsidRPr="00084227" w:rsidRDefault="00084227" w:rsidP="00084227">
      <w:pPr>
        <w:pStyle w:val="Prrafodelista"/>
        <w:numPr>
          <w:ilvl w:val="0"/>
          <w:numId w:val="17"/>
        </w:numPr>
        <w:spacing w:after="0"/>
        <w:ind w:left="851" w:hanging="284"/>
        <w:rPr>
          <w:rFonts w:ascii="Verdana" w:hAnsi="Verdana"/>
          <w:b/>
          <w:bCs/>
          <w:sz w:val="20"/>
          <w:szCs w:val="20"/>
        </w:rPr>
      </w:pPr>
      <w:r w:rsidRPr="00084227">
        <w:rPr>
          <w:rFonts w:ascii="Verdana" w:hAnsi="Verdana"/>
          <w:b/>
          <w:bCs/>
          <w:sz w:val="20"/>
          <w:szCs w:val="20"/>
        </w:rPr>
        <w:t>Determinación de los datos</w:t>
      </w:r>
    </w:p>
    <w:p w14:paraId="521E260F" w14:textId="77777777" w:rsidR="00084227" w:rsidRDefault="00084227" w:rsidP="007C0AE7">
      <w:pPr>
        <w:spacing w:after="0"/>
        <w:rPr>
          <w:rFonts w:ascii="Verdana" w:hAnsi="Verdana"/>
          <w:sz w:val="20"/>
          <w:szCs w:val="20"/>
        </w:rPr>
      </w:pPr>
    </w:p>
    <w:p w14:paraId="0FBD9947" w14:textId="4ED64099" w:rsidR="007C0AE7" w:rsidRPr="00964B84" w:rsidRDefault="007C0AE7" w:rsidP="007C0AE7">
      <w:pPr>
        <w:spacing w:after="0"/>
        <w:rPr>
          <w:rFonts w:ascii="Verdana" w:hAnsi="Verdana"/>
          <w:sz w:val="20"/>
          <w:szCs w:val="20"/>
        </w:rPr>
      </w:pPr>
      <w:r w:rsidRPr="688A6030">
        <w:rPr>
          <w:rFonts w:ascii="Verdana" w:hAnsi="Verdana"/>
          <w:sz w:val="20"/>
          <w:szCs w:val="20"/>
        </w:rPr>
        <w:t>1.1.A12.</w:t>
      </w:r>
      <w:r w:rsidR="0C8E19AA" w:rsidRPr="688A6030">
        <w:rPr>
          <w:rFonts w:ascii="Verdana" w:hAnsi="Verdana"/>
          <w:sz w:val="20"/>
          <w:szCs w:val="20"/>
        </w:rPr>
        <w:t>2</w:t>
      </w:r>
      <w:r w:rsidR="009B5293">
        <w:rPr>
          <w:rFonts w:ascii="Verdana" w:hAnsi="Verdana"/>
          <w:sz w:val="20"/>
          <w:szCs w:val="20"/>
        </w:rPr>
        <w:t>1</w:t>
      </w:r>
      <w:r w:rsidRPr="688A6030">
        <w:rPr>
          <w:rFonts w:ascii="Verdana" w:hAnsi="Verdana"/>
          <w:sz w:val="20"/>
          <w:szCs w:val="20"/>
        </w:rPr>
        <w:t>.</w:t>
      </w:r>
    </w:p>
    <w:p w14:paraId="39FF0CDC" w14:textId="1FAACA1B" w:rsidR="00912847" w:rsidRPr="00361B56" w:rsidRDefault="00912847" w:rsidP="00361B56">
      <w:pPr>
        <w:spacing w:after="0" w:line="240" w:lineRule="auto"/>
        <w:jc w:val="both"/>
        <w:rPr>
          <w:rFonts w:ascii="Verdana" w:hAnsi="Verdana"/>
          <w:sz w:val="20"/>
          <w:szCs w:val="20"/>
        </w:rPr>
      </w:pPr>
      <w:r w:rsidRPr="11388FA0">
        <w:rPr>
          <w:rFonts w:ascii="Verdana" w:hAnsi="Verdana"/>
          <w:sz w:val="20"/>
          <w:szCs w:val="20"/>
        </w:rPr>
        <w:t xml:space="preserve">Determinar el conjunto de datos correspondiente a los saldos al cierre del mes de los depósitos a la vista por cada línea de negocio. Las líneas de negocio corresponden a la </w:t>
      </w:r>
      <w:r w:rsidRPr="00935E73">
        <w:rPr>
          <w:rFonts w:ascii="Verdana" w:hAnsi="Verdana"/>
          <w:sz w:val="20"/>
          <w:szCs w:val="20"/>
        </w:rPr>
        <w:t xml:space="preserve">segmentación definida </w:t>
      </w:r>
      <w:r w:rsidR="00935E73" w:rsidRPr="00935E73">
        <w:rPr>
          <w:rFonts w:ascii="Verdana" w:hAnsi="Verdana"/>
          <w:sz w:val="20"/>
          <w:szCs w:val="20"/>
        </w:rPr>
        <w:t>entre</w:t>
      </w:r>
      <w:r w:rsidR="00935E73">
        <w:rPr>
          <w:rFonts w:ascii="Verdana" w:hAnsi="Verdana"/>
          <w:sz w:val="20"/>
          <w:szCs w:val="20"/>
        </w:rPr>
        <w:t xml:space="preserve"> los párrafos 1.1.A12.17. y 1.1.A12.27.</w:t>
      </w:r>
    </w:p>
    <w:p w14:paraId="64D0E43A" w14:textId="77777777" w:rsidR="00A108D6" w:rsidRDefault="00A108D6" w:rsidP="006402F5">
      <w:pPr>
        <w:spacing w:after="0"/>
        <w:rPr>
          <w:rFonts w:ascii="Verdana" w:hAnsi="Verdana"/>
          <w:sz w:val="20"/>
          <w:szCs w:val="20"/>
        </w:rPr>
      </w:pPr>
    </w:p>
    <w:p w14:paraId="7E4BC64F" w14:textId="5EE3EE1B" w:rsidR="006402F5" w:rsidRPr="00964B84" w:rsidRDefault="006402F5" w:rsidP="006402F5">
      <w:pPr>
        <w:spacing w:after="0"/>
        <w:rPr>
          <w:rFonts w:ascii="Verdana" w:hAnsi="Verdana"/>
          <w:sz w:val="20"/>
          <w:szCs w:val="20"/>
        </w:rPr>
      </w:pPr>
      <w:r w:rsidRPr="688A6030">
        <w:rPr>
          <w:rFonts w:ascii="Verdana" w:hAnsi="Verdana"/>
          <w:sz w:val="20"/>
          <w:szCs w:val="20"/>
        </w:rPr>
        <w:t>1.1.A12.</w:t>
      </w:r>
      <w:r w:rsidR="41480C70" w:rsidRPr="688A6030">
        <w:rPr>
          <w:rFonts w:ascii="Verdana" w:hAnsi="Verdana"/>
          <w:sz w:val="20"/>
          <w:szCs w:val="20"/>
        </w:rPr>
        <w:t>2</w:t>
      </w:r>
      <w:r w:rsidR="00702C14">
        <w:rPr>
          <w:rFonts w:ascii="Verdana" w:hAnsi="Verdana"/>
          <w:sz w:val="20"/>
          <w:szCs w:val="20"/>
        </w:rPr>
        <w:t>2</w:t>
      </w:r>
      <w:r w:rsidRPr="688A6030">
        <w:rPr>
          <w:rFonts w:ascii="Verdana" w:hAnsi="Verdana"/>
          <w:sz w:val="20"/>
          <w:szCs w:val="20"/>
        </w:rPr>
        <w:t>.</w:t>
      </w:r>
    </w:p>
    <w:p w14:paraId="0EDD9B71" w14:textId="20E0B0E6" w:rsidR="00912847" w:rsidRPr="00912847" w:rsidRDefault="00912847" w:rsidP="00361B56">
      <w:pPr>
        <w:pStyle w:val="Prrafodelista"/>
        <w:ind w:left="0"/>
        <w:jc w:val="both"/>
        <w:rPr>
          <w:rFonts w:ascii="Verdana" w:hAnsi="Verdana"/>
          <w:sz w:val="20"/>
          <w:szCs w:val="20"/>
        </w:rPr>
      </w:pPr>
      <w:r w:rsidRPr="00912847">
        <w:rPr>
          <w:rFonts w:ascii="Verdana" w:hAnsi="Verdana"/>
          <w:sz w:val="20"/>
          <w:szCs w:val="20"/>
        </w:rPr>
        <w:t>Las entidades deben utilizar toda la información histórica disponible y, en todo caso, deben contar como mínimo con 5 años de información de datos mensuales, contados desde el cierre del mes inmediatamente anterior a la fecha de cálculo. Las entidades deben verificar que la base de observaciones utilizada permita realizar cálculos estadísticamente razonables y robustos.</w:t>
      </w:r>
    </w:p>
    <w:p w14:paraId="42E1551B" w14:textId="124D2467" w:rsidR="00084227" w:rsidRDefault="00084227" w:rsidP="00084227">
      <w:pPr>
        <w:pStyle w:val="Prrafodelista"/>
        <w:spacing w:after="0"/>
        <w:rPr>
          <w:rFonts w:ascii="Verdana" w:hAnsi="Verdana"/>
          <w:sz w:val="20"/>
          <w:szCs w:val="20"/>
        </w:rPr>
      </w:pPr>
    </w:p>
    <w:p w14:paraId="3D8BCD9D" w14:textId="481A0BCE" w:rsidR="00084227" w:rsidRDefault="00084227" w:rsidP="00A108D6">
      <w:pPr>
        <w:pStyle w:val="Prrafodelista"/>
        <w:numPr>
          <w:ilvl w:val="0"/>
          <w:numId w:val="17"/>
        </w:numPr>
        <w:spacing w:after="0"/>
        <w:ind w:left="851" w:hanging="284"/>
        <w:rPr>
          <w:rFonts w:ascii="Verdana" w:hAnsi="Verdana"/>
          <w:b/>
          <w:bCs/>
          <w:sz w:val="20"/>
          <w:szCs w:val="20"/>
        </w:rPr>
      </w:pPr>
      <w:r w:rsidRPr="009C7B43">
        <w:rPr>
          <w:rFonts w:ascii="Verdana" w:hAnsi="Verdana"/>
          <w:b/>
          <w:bCs/>
          <w:sz w:val="20"/>
          <w:szCs w:val="20"/>
        </w:rPr>
        <w:t>Serie</w:t>
      </w:r>
      <w:r w:rsidR="009C7B43" w:rsidRPr="009C7B43">
        <w:rPr>
          <w:rFonts w:ascii="Verdana" w:hAnsi="Verdana"/>
          <w:b/>
          <w:bCs/>
          <w:sz w:val="20"/>
          <w:szCs w:val="20"/>
        </w:rPr>
        <w:t xml:space="preserve"> de variaciones</w:t>
      </w:r>
    </w:p>
    <w:p w14:paraId="039991A2" w14:textId="77777777" w:rsidR="009C7B43" w:rsidRPr="009C7B43" w:rsidRDefault="009C7B43" w:rsidP="009C7B43">
      <w:pPr>
        <w:pStyle w:val="Prrafodelista"/>
        <w:spacing w:after="0"/>
        <w:ind w:left="851"/>
        <w:rPr>
          <w:rFonts w:ascii="Verdana" w:hAnsi="Verdana"/>
          <w:b/>
          <w:bCs/>
          <w:sz w:val="20"/>
          <w:szCs w:val="20"/>
        </w:rPr>
      </w:pPr>
    </w:p>
    <w:p w14:paraId="363C4D2F" w14:textId="4DAD6D0F" w:rsidR="00A108D6" w:rsidRPr="00964B84" w:rsidRDefault="00A108D6" w:rsidP="00A108D6">
      <w:pPr>
        <w:spacing w:after="0"/>
        <w:rPr>
          <w:rFonts w:ascii="Verdana" w:hAnsi="Verdana"/>
          <w:sz w:val="20"/>
          <w:szCs w:val="20"/>
        </w:rPr>
      </w:pPr>
      <w:r w:rsidRPr="688A6030">
        <w:rPr>
          <w:rFonts w:ascii="Verdana" w:hAnsi="Verdana"/>
          <w:sz w:val="20"/>
          <w:szCs w:val="20"/>
        </w:rPr>
        <w:t>1.1.A12.</w:t>
      </w:r>
      <w:r w:rsidR="015D5EA5" w:rsidRPr="688A6030">
        <w:rPr>
          <w:rFonts w:ascii="Verdana" w:hAnsi="Verdana"/>
          <w:sz w:val="20"/>
          <w:szCs w:val="20"/>
        </w:rPr>
        <w:t>2</w:t>
      </w:r>
      <w:r w:rsidR="00702C14">
        <w:rPr>
          <w:rFonts w:ascii="Verdana" w:hAnsi="Verdana"/>
          <w:sz w:val="20"/>
          <w:szCs w:val="20"/>
        </w:rPr>
        <w:t>3</w:t>
      </w:r>
      <w:r w:rsidRPr="688A6030">
        <w:rPr>
          <w:rFonts w:ascii="Verdana" w:hAnsi="Verdana"/>
          <w:sz w:val="20"/>
          <w:szCs w:val="20"/>
        </w:rPr>
        <w:t>.</w:t>
      </w:r>
    </w:p>
    <w:p w14:paraId="7DB47CA1" w14:textId="2F5C7CF3" w:rsidR="00912847" w:rsidRDefault="00912847" w:rsidP="00B168BA">
      <w:pPr>
        <w:spacing w:after="0" w:line="240" w:lineRule="auto"/>
        <w:jc w:val="both"/>
        <w:rPr>
          <w:rFonts w:ascii="Verdana" w:hAnsi="Verdana"/>
          <w:sz w:val="20"/>
          <w:szCs w:val="20"/>
        </w:rPr>
      </w:pPr>
      <w:r w:rsidRPr="00361B56">
        <w:rPr>
          <w:rFonts w:ascii="Verdana" w:hAnsi="Verdana"/>
          <w:sz w:val="20"/>
          <w:szCs w:val="20"/>
        </w:rPr>
        <w:t>Construir la serie de variaciones anuales para cada mes de los respectivos saldos de depósitos a la vista por cada línea de negocio, de acuerdo con la siguiente fórmula:</w:t>
      </w:r>
    </w:p>
    <w:p w14:paraId="46DC64B5" w14:textId="77777777" w:rsidR="00B168BA" w:rsidRPr="00B168BA" w:rsidRDefault="00B168BA" w:rsidP="00B168BA">
      <w:pPr>
        <w:spacing w:after="0" w:line="240" w:lineRule="auto"/>
        <w:jc w:val="both"/>
        <w:rPr>
          <w:rFonts w:ascii="Verdana" w:hAnsi="Verdana"/>
          <w:sz w:val="20"/>
          <w:szCs w:val="20"/>
        </w:rPr>
      </w:pPr>
    </w:p>
    <w:p w14:paraId="101E2CD8" w14:textId="254968D9" w:rsidR="00912847" w:rsidRPr="00B168BA" w:rsidRDefault="00B06431" w:rsidP="00912847">
      <w:pPr>
        <w:jc w:val="center"/>
        <w:rPr>
          <w:rFonts w:ascii="Verdana" w:hAnsi="Verdana"/>
          <w:sz w:val="20"/>
          <w:szCs w:val="20"/>
        </w:rPr>
      </w:pPr>
      <m:oMathPara>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e>
            <m:sub>
              <m:r>
                <w:rPr>
                  <w:rFonts w:ascii="Cambria Math" w:hAnsi="Cambria Math"/>
                  <w:sz w:val="20"/>
                  <w:szCs w:val="20"/>
                </w:rPr>
                <m:t>t</m:t>
              </m:r>
            </m:sub>
          </m:sSub>
          <m:r>
            <w:rPr>
              <w:rFonts w:ascii="Cambria Math" w:hAnsi="Cambria Math"/>
              <w:sz w:val="20"/>
              <w:szCs w:val="20"/>
            </w:rPr>
            <m:t>=</m:t>
          </m:r>
          <m:func>
            <m:funcPr>
              <m:ctrlPr>
                <w:rPr>
                  <w:rFonts w:ascii="Cambria Math" w:hAnsi="Cambria Math"/>
                  <w:i/>
                  <w:sz w:val="20"/>
                  <w:szCs w:val="20"/>
                </w:rPr>
              </m:ctrlPr>
            </m:funcPr>
            <m:fName>
              <m:r>
                <w:rPr>
                  <w:rFonts w:ascii="Cambria Math" w:hAnsi="Cambria Math"/>
                  <w:sz w:val="20"/>
                  <w:szCs w:val="20"/>
                </w:rPr>
                <m:t>ln</m:t>
              </m:r>
            </m:fName>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Saldo</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t-12</m:t>
                              </m:r>
                            </m:sub>
                          </m:sSub>
                        </m:sub>
                        <m:sup>
                          <m:r>
                            <w:rPr>
                              <w:rFonts w:ascii="Cambria Math" w:hAnsi="Cambria Math"/>
                              <w:sz w:val="20"/>
                              <w:szCs w:val="20"/>
                            </w:rPr>
                            <m:t xml:space="preserve"> </m:t>
                          </m:r>
                        </m:sup>
                      </m:sSubSup>
                    </m:num>
                    <m:den>
                      <m:sSubSup>
                        <m:sSubSupPr>
                          <m:ctrlPr>
                            <w:rPr>
                              <w:rFonts w:ascii="Cambria Math" w:hAnsi="Cambria Math"/>
                              <w:i/>
                              <w:sz w:val="20"/>
                              <w:szCs w:val="20"/>
                            </w:rPr>
                          </m:ctrlPr>
                        </m:sSubSupPr>
                        <m:e>
                          <m:r>
                            <w:rPr>
                              <w:rFonts w:ascii="Cambria Math" w:hAnsi="Cambria Math"/>
                              <w:sz w:val="20"/>
                              <w:szCs w:val="20"/>
                            </w:rPr>
                            <m:t>Saldo</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m:t>
                              </m:r>
                            </m:sub>
                          </m:sSub>
                        </m:sub>
                        <m:sup>
                          <m:r>
                            <w:rPr>
                              <w:rFonts w:ascii="Cambria Math" w:hAnsi="Cambria Math"/>
                              <w:sz w:val="20"/>
                              <w:szCs w:val="20"/>
                            </w:rPr>
                            <m:t xml:space="preserve"> </m:t>
                          </m:r>
                        </m:sup>
                      </m:sSubSup>
                    </m:den>
                  </m:f>
                </m:e>
              </m:d>
            </m:e>
          </m:func>
        </m:oMath>
      </m:oMathPara>
    </w:p>
    <w:p w14:paraId="6E23047F" w14:textId="77777777" w:rsidR="00912847" w:rsidRPr="00912847" w:rsidRDefault="00912847" w:rsidP="00B168BA">
      <w:pPr>
        <w:jc w:val="both"/>
        <w:rPr>
          <w:rFonts w:ascii="Verdana" w:hAnsi="Verdana"/>
          <w:sz w:val="20"/>
          <w:szCs w:val="20"/>
        </w:rPr>
      </w:pPr>
      <w:r w:rsidRPr="00912847">
        <w:rPr>
          <w:rFonts w:ascii="Verdana" w:hAnsi="Verdana"/>
          <w:sz w:val="20"/>
          <w:szCs w:val="20"/>
        </w:rPr>
        <w:t>Donde:</w:t>
      </w:r>
    </w:p>
    <w:p w14:paraId="04200139" w14:textId="7A7FEA04" w:rsidR="00912847" w:rsidRPr="00912847" w:rsidRDefault="00B06431" w:rsidP="00B168BA">
      <w:pPr>
        <w:jc w:val="both"/>
        <w:rPr>
          <w:rFonts w:ascii="Verdana" w:hAnsi="Verdana"/>
          <w:sz w:val="20"/>
          <w:szCs w:val="20"/>
        </w:rPr>
      </w:pPr>
      <m:oMath>
        <m:sSubSup>
          <m:sSubSupPr>
            <m:ctrlPr>
              <w:rPr>
                <w:rFonts w:ascii="Cambria Math" w:hAnsi="Cambria Math"/>
                <w:i/>
                <w:sz w:val="20"/>
                <w:szCs w:val="20"/>
              </w:rPr>
            </m:ctrlPr>
          </m:sSubSupPr>
          <m:e>
            <m:r>
              <w:rPr>
                <w:rFonts w:ascii="Cambria Math" w:hAnsi="Cambria Math"/>
                <w:sz w:val="20"/>
                <w:szCs w:val="20"/>
              </w:rPr>
              <m:t>Variación anual</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m:t>
                </m:r>
              </m:sub>
            </m:sSub>
          </m:sub>
          <m:sup>
            <m:r>
              <w:rPr>
                <w:rFonts w:ascii="Cambria Math" w:hAnsi="Cambria Math"/>
                <w:sz w:val="20"/>
                <w:szCs w:val="20"/>
              </w:rPr>
              <m:t xml:space="preserve"> </m:t>
            </m:r>
          </m:sup>
        </m:sSubSup>
      </m:oMath>
      <w:r w:rsidR="00912847" w:rsidRPr="00B168BA">
        <w:rPr>
          <w:rFonts w:ascii="Verdana" w:hAnsi="Verdana"/>
          <w:i/>
          <w:sz w:val="20"/>
          <w:szCs w:val="20"/>
        </w:rPr>
        <w:t>:</w:t>
      </w:r>
      <w:r w:rsidR="00912847" w:rsidRPr="00912847">
        <w:rPr>
          <w:rFonts w:ascii="Verdana" w:hAnsi="Verdana"/>
          <w:sz w:val="20"/>
          <w:szCs w:val="20"/>
        </w:rPr>
        <w:t xml:space="preserve"> </w:t>
      </w:r>
      <w:r w:rsidR="00B168BA">
        <w:rPr>
          <w:rFonts w:ascii="Verdana" w:hAnsi="Verdana"/>
          <w:sz w:val="20"/>
          <w:szCs w:val="20"/>
        </w:rPr>
        <w:t>es la v</w:t>
      </w:r>
      <w:r w:rsidR="00912847" w:rsidRPr="00912847">
        <w:rPr>
          <w:rFonts w:ascii="Verdana" w:hAnsi="Verdana"/>
          <w:sz w:val="20"/>
          <w:szCs w:val="20"/>
        </w:rPr>
        <w:t xml:space="preserve">ariación anual de los saldos en la línea de negocio </w:t>
      </w:r>
      <m:oMath>
        <m:r>
          <w:rPr>
            <w:rFonts w:ascii="Cambria Math" w:hAnsi="Cambria Math"/>
            <w:sz w:val="20"/>
            <w:szCs w:val="20"/>
          </w:rPr>
          <m:t>i</m:t>
        </m:r>
        <m:r>
          <m:rPr>
            <m:sty m:val="b"/>
          </m:rPr>
          <w:rPr>
            <w:rFonts w:ascii="Cambria Math" w:hAnsi="Cambria Math"/>
            <w:sz w:val="20"/>
            <w:szCs w:val="20"/>
          </w:rPr>
          <m:t xml:space="preserve"> </m:t>
        </m:r>
      </m:oMath>
      <w:r w:rsidR="00912847" w:rsidRPr="00912847">
        <w:rPr>
          <w:rFonts w:ascii="Verdana" w:hAnsi="Verdana"/>
          <w:sz w:val="20"/>
          <w:szCs w:val="20"/>
        </w:rPr>
        <w:t>del mes</w:t>
      </w:r>
      <w:r w:rsidR="00912847" w:rsidRPr="009C7B43">
        <w:rPr>
          <w:rFonts w:ascii="Verdana" w:hAnsi="Verdana"/>
          <w:bCs/>
          <w:sz w:val="20"/>
          <w:szCs w:val="20"/>
        </w:rPr>
        <w:t xml:space="preserve"> </w:t>
      </w:r>
      <m:oMath>
        <m:r>
          <w:rPr>
            <w:rFonts w:ascii="Cambria Math" w:hAnsi="Cambria Math"/>
            <w:sz w:val="20"/>
            <w:szCs w:val="20"/>
          </w:rPr>
          <m:t>t</m:t>
        </m:r>
      </m:oMath>
      <w:r w:rsidR="00912847" w:rsidRPr="00912847">
        <w:rPr>
          <w:rFonts w:ascii="Verdana" w:hAnsi="Verdana"/>
          <w:sz w:val="20"/>
          <w:szCs w:val="20"/>
        </w:rPr>
        <w:t xml:space="preserve"> con respecto al mes </w:t>
      </w:r>
      <m:oMath>
        <m:r>
          <w:rPr>
            <w:rFonts w:ascii="Cambria Math" w:hAnsi="Cambria Math"/>
            <w:sz w:val="20"/>
            <w:szCs w:val="20"/>
          </w:rPr>
          <m:t>t</m:t>
        </m:r>
        <m:r>
          <m:rPr>
            <m:sty m:val="p"/>
          </m:rPr>
          <w:rPr>
            <w:rFonts w:ascii="Cambria Math" w:hAnsi="Cambria Math"/>
            <w:sz w:val="20"/>
            <w:szCs w:val="20"/>
          </w:rPr>
          <m:t>-12</m:t>
        </m:r>
      </m:oMath>
      <w:r w:rsidR="00912847" w:rsidRPr="00912847">
        <w:rPr>
          <w:rFonts w:ascii="Verdana" w:hAnsi="Verdana"/>
          <w:sz w:val="20"/>
          <w:szCs w:val="20"/>
        </w:rPr>
        <w:t>.</w:t>
      </w:r>
    </w:p>
    <w:p w14:paraId="33E062A3" w14:textId="3694EDBB" w:rsidR="00912847" w:rsidRPr="00912847" w:rsidRDefault="00B168BA" w:rsidP="00B168BA">
      <w:pPr>
        <w:jc w:val="both"/>
        <w:rPr>
          <w:rFonts w:ascii="Verdana" w:hAnsi="Verdana"/>
          <w:sz w:val="20"/>
          <w:szCs w:val="20"/>
        </w:rPr>
      </w:pPr>
      <m:oMath>
        <m:r>
          <w:rPr>
            <w:rFonts w:ascii="Cambria Math" w:hAnsi="Cambria Math"/>
            <w:sz w:val="20"/>
            <w:szCs w:val="20"/>
          </w:rPr>
          <m:t>ln</m:t>
        </m:r>
      </m:oMath>
      <w:r w:rsidR="00912847" w:rsidRPr="00B168BA">
        <w:rPr>
          <w:rFonts w:ascii="Verdana" w:hAnsi="Verdana"/>
          <w:bCs/>
          <w:sz w:val="20"/>
          <w:szCs w:val="20"/>
        </w:rPr>
        <w:t>:</w:t>
      </w:r>
      <w:r w:rsidR="00912847" w:rsidRPr="00912847">
        <w:rPr>
          <w:rFonts w:ascii="Verdana" w:hAnsi="Verdana"/>
          <w:sz w:val="20"/>
          <w:szCs w:val="20"/>
        </w:rPr>
        <w:t xml:space="preserve"> corresponde al logaritmo natural.</w:t>
      </w:r>
    </w:p>
    <w:p w14:paraId="01AD87A2" w14:textId="5314F1F0" w:rsidR="00912847" w:rsidRPr="00912847" w:rsidRDefault="00B168BA" w:rsidP="00B168BA">
      <w:pPr>
        <w:jc w:val="both"/>
        <w:rPr>
          <w:rFonts w:ascii="Verdana" w:hAnsi="Verdana"/>
          <w:sz w:val="20"/>
          <w:szCs w:val="20"/>
        </w:rPr>
      </w:pPr>
      <m:oMath>
        <m:r>
          <m:rPr>
            <m:sty m:val="p"/>
          </m:rPr>
          <w:rPr>
            <w:rFonts w:ascii="Cambria Math" w:hAnsi="Cambria Math"/>
            <w:sz w:val="20"/>
            <w:szCs w:val="20"/>
          </w:rPr>
          <m:t xml:space="preserve">t </m:t>
        </m:r>
        <m:r>
          <m:rPr>
            <m:sty m:val="b"/>
          </m:rPr>
          <w:rPr>
            <w:rFonts w:ascii="Cambria Math" w:hAnsi="Cambria Math"/>
            <w:sz w:val="20"/>
            <w:szCs w:val="20"/>
          </w:rPr>
          <m:t xml:space="preserve">= </m:t>
        </m:r>
        <m:r>
          <m:rPr>
            <m:sty m:val="p"/>
          </m:rPr>
          <w:rPr>
            <w:rFonts w:ascii="Cambria Math" w:hAnsi="Cambria Math"/>
            <w:sz w:val="20"/>
            <w:szCs w:val="20"/>
          </w:rPr>
          <m:t>1, ...,</m:t>
        </m:r>
        <m:r>
          <w:rPr>
            <w:rFonts w:ascii="Cambria Math" w:hAnsi="Cambria Math"/>
            <w:sz w:val="20"/>
            <w:szCs w:val="20"/>
          </w:rPr>
          <m:t xml:space="preserve"> T</m:t>
        </m:r>
      </m:oMath>
      <w:r w:rsidR="00912847" w:rsidRPr="00B168BA">
        <w:rPr>
          <w:rFonts w:ascii="Verdana" w:hAnsi="Verdana"/>
          <w:bCs/>
          <w:sz w:val="20"/>
          <w:szCs w:val="20"/>
        </w:rPr>
        <w:t>.</w:t>
      </w:r>
    </w:p>
    <w:p w14:paraId="1ADEE115" w14:textId="3C05B493" w:rsidR="00912847" w:rsidRPr="00912847" w:rsidDel="002D72E7" w:rsidRDefault="00B168BA" w:rsidP="00B168BA">
      <w:pPr>
        <w:jc w:val="both"/>
        <w:rPr>
          <w:rFonts w:ascii="Verdana" w:hAnsi="Verdana"/>
          <w:sz w:val="20"/>
          <w:szCs w:val="20"/>
        </w:rPr>
      </w:pPr>
      <m:oMath>
        <m:r>
          <w:rPr>
            <w:rFonts w:ascii="Cambria Math" w:hAnsi="Cambria Math"/>
            <w:sz w:val="20"/>
            <w:szCs w:val="20"/>
          </w:rPr>
          <m:t>T</m:t>
        </m:r>
      </m:oMath>
      <w:r w:rsidR="00912847" w:rsidRPr="00B168BA" w:rsidDel="002D72E7">
        <w:rPr>
          <w:rFonts w:ascii="Verdana" w:hAnsi="Verdana"/>
          <w:bCs/>
          <w:sz w:val="20"/>
          <w:szCs w:val="20"/>
        </w:rPr>
        <w:t>:</w:t>
      </w:r>
      <w:r w:rsidR="00912847" w:rsidRPr="00912847" w:rsidDel="002D72E7">
        <w:rPr>
          <w:rFonts w:ascii="Verdana" w:hAnsi="Verdana"/>
          <w:sz w:val="20"/>
          <w:szCs w:val="20"/>
        </w:rPr>
        <w:t xml:space="preserve"> </w:t>
      </w:r>
      <w:r>
        <w:rPr>
          <w:rFonts w:ascii="Verdana" w:hAnsi="Verdana"/>
          <w:sz w:val="20"/>
          <w:szCs w:val="20"/>
        </w:rPr>
        <w:t>es el n</w:t>
      </w:r>
      <w:r w:rsidR="00912847" w:rsidRPr="00912847" w:rsidDel="002D72E7">
        <w:rPr>
          <w:rFonts w:ascii="Verdana" w:hAnsi="Verdana"/>
          <w:sz w:val="20"/>
          <w:szCs w:val="20"/>
        </w:rPr>
        <w:t xml:space="preserve">úmero de meses para los cuales se tiene información de los respectivos saldos de los depósitos a la vista para la línea de negocio </w:t>
      </w:r>
      <m:oMath>
        <m:r>
          <m:rPr>
            <m:sty m:val="bi"/>
          </m:rPr>
          <w:rPr>
            <w:rFonts w:ascii="Cambria Math" w:hAnsi="Cambria Math"/>
            <w:sz w:val="20"/>
            <w:szCs w:val="20"/>
          </w:rPr>
          <m:t>i</m:t>
        </m:r>
      </m:oMath>
      <w:r w:rsidR="00912847" w:rsidRPr="00912847" w:rsidDel="002D72E7">
        <w:rPr>
          <w:rFonts w:ascii="Verdana" w:hAnsi="Verdana"/>
          <w:sz w:val="20"/>
          <w:szCs w:val="20"/>
        </w:rPr>
        <w:t>.</w:t>
      </w:r>
    </w:p>
    <w:p w14:paraId="4EF3522B" w14:textId="3AC0AB20" w:rsidR="00912847" w:rsidRPr="00663F6B" w:rsidRDefault="00B06431" w:rsidP="00B168BA">
      <w:pPr>
        <w:jc w:val="both"/>
        <w:rPr>
          <w:rFonts w:ascii="Verdana" w:hAnsi="Verdana"/>
          <w:sz w:val="20"/>
          <w:szCs w:val="20"/>
        </w:rPr>
      </w:pPr>
      <m:oMath>
        <m:sSubSup>
          <m:sSubSupPr>
            <m:ctrlPr>
              <w:rPr>
                <w:rFonts w:ascii="Cambria Math" w:hAnsi="Cambria Math"/>
                <w:i/>
                <w:sz w:val="20"/>
                <w:szCs w:val="20"/>
              </w:rPr>
            </m:ctrlPr>
          </m:sSubSupPr>
          <m:e>
            <m:r>
              <w:rPr>
                <w:rFonts w:ascii="Cambria Math" w:hAnsi="Cambria Math"/>
                <w:sz w:val="20"/>
                <w:szCs w:val="20"/>
              </w:rPr>
              <m:t>Saldo</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m:t>
                </m:r>
              </m:sub>
            </m:sSub>
          </m:sub>
          <m:sup>
            <m:r>
              <w:rPr>
                <w:rFonts w:ascii="Cambria Math" w:hAnsi="Cambria Math"/>
                <w:sz w:val="20"/>
                <w:szCs w:val="20"/>
              </w:rPr>
              <m:t xml:space="preserve"> </m:t>
            </m:r>
          </m:sup>
        </m:sSubSup>
      </m:oMath>
      <w:r w:rsidR="00912847" w:rsidRPr="00084227">
        <w:rPr>
          <w:rFonts w:ascii="Verdana" w:hAnsi="Verdana"/>
          <w:i/>
          <w:sz w:val="20"/>
          <w:szCs w:val="20"/>
        </w:rPr>
        <w:t>:</w:t>
      </w:r>
      <w:r w:rsidR="00912847" w:rsidRPr="00912847">
        <w:rPr>
          <w:rFonts w:ascii="Verdana" w:hAnsi="Verdana"/>
          <w:sz w:val="20"/>
          <w:szCs w:val="20"/>
        </w:rPr>
        <w:t xml:space="preserve"> </w:t>
      </w:r>
      <w:r w:rsidR="00B168BA">
        <w:rPr>
          <w:rFonts w:ascii="Verdana" w:hAnsi="Verdana"/>
          <w:sz w:val="20"/>
          <w:szCs w:val="20"/>
        </w:rPr>
        <w:t>es el s</w:t>
      </w:r>
      <w:r w:rsidR="00912847" w:rsidRPr="00912847">
        <w:rPr>
          <w:rFonts w:ascii="Verdana" w:hAnsi="Verdana"/>
          <w:sz w:val="20"/>
          <w:szCs w:val="20"/>
        </w:rPr>
        <w:t xml:space="preserve">aldo de los depósitos a la vista </w:t>
      </w:r>
      <w:r w:rsidR="00912847" w:rsidRPr="00663F6B">
        <w:rPr>
          <w:rFonts w:ascii="Verdana" w:hAnsi="Verdana"/>
          <w:sz w:val="20"/>
          <w:szCs w:val="20"/>
        </w:rPr>
        <w:t xml:space="preserve">en la línea de negocio </w:t>
      </w:r>
      <m:oMath>
        <m:r>
          <w:rPr>
            <w:rFonts w:ascii="Cambria Math" w:hAnsi="Cambria Math"/>
            <w:sz w:val="20"/>
            <w:szCs w:val="20"/>
          </w:rPr>
          <m:t>i</m:t>
        </m:r>
      </m:oMath>
      <w:r w:rsidR="00912847" w:rsidRPr="00663F6B">
        <w:rPr>
          <w:rFonts w:ascii="Verdana" w:hAnsi="Verdana"/>
          <w:sz w:val="20"/>
          <w:szCs w:val="20"/>
        </w:rPr>
        <w:t xml:space="preserve"> en el mes </w:t>
      </w:r>
      <m:oMath>
        <m:r>
          <w:rPr>
            <w:rFonts w:ascii="Cambria Math" w:hAnsi="Cambria Math"/>
            <w:sz w:val="20"/>
            <w:szCs w:val="20"/>
          </w:rPr>
          <m:t>t</m:t>
        </m:r>
      </m:oMath>
      <w:r w:rsidR="00912847" w:rsidRPr="00663F6B">
        <w:rPr>
          <w:rFonts w:ascii="Verdana" w:hAnsi="Verdana"/>
          <w:sz w:val="20"/>
          <w:szCs w:val="20"/>
        </w:rPr>
        <w:t>.</w:t>
      </w:r>
    </w:p>
    <w:p w14:paraId="1E539078" w14:textId="092F9372" w:rsidR="00912847" w:rsidRPr="00912847" w:rsidRDefault="00B06431" w:rsidP="00B168BA">
      <w:pPr>
        <w:jc w:val="both"/>
        <w:rPr>
          <w:rFonts w:ascii="Verdana" w:hAnsi="Verdana"/>
          <w:sz w:val="20"/>
          <w:szCs w:val="20"/>
        </w:rPr>
      </w:pPr>
      <m:oMath>
        <m:sSubSup>
          <m:sSubSupPr>
            <m:ctrlPr>
              <w:rPr>
                <w:rFonts w:ascii="Cambria Math" w:hAnsi="Cambria Math"/>
                <w:i/>
                <w:sz w:val="20"/>
                <w:szCs w:val="20"/>
              </w:rPr>
            </m:ctrlPr>
          </m:sSubSupPr>
          <m:e>
            <m:r>
              <w:rPr>
                <w:rFonts w:ascii="Cambria Math" w:hAnsi="Cambria Math"/>
                <w:sz w:val="20"/>
                <w:szCs w:val="20"/>
              </w:rPr>
              <m:t>Saldo</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t-12</m:t>
                </m:r>
              </m:sub>
            </m:sSub>
          </m:sub>
          <m:sup>
            <m:r>
              <w:rPr>
                <w:rFonts w:ascii="Cambria Math" w:hAnsi="Cambria Math"/>
                <w:sz w:val="20"/>
                <w:szCs w:val="20"/>
              </w:rPr>
              <m:t xml:space="preserve"> </m:t>
            </m:r>
          </m:sup>
        </m:sSubSup>
      </m:oMath>
      <w:r w:rsidR="00912847" w:rsidRPr="00912847">
        <w:rPr>
          <w:rFonts w:ascii="Verdana" w:hAnsi="Verdana"/>
          <w:i/>
          <w:sz w:val="20"/>
          <w:szCs w:val="20"/>
        </w:rPr>
        <w:t>:</w:t>
      </w:r>
      <w:r w:rsidR="00912847" w:rsidRPr="00912847">
        <w:rPr>
          <w:rFonts w:ascii="Verdana" w:hAnsi="Verdana"/>
          <w:sz w:val="20"/>
          <w:szCs w:val="20"/>
        </w:rPr>
        <w:t xml:space="preserve"> </w:t>
      </w:r>
      <w:r w:rsidR="00B168BA">
        <w:rPr>
          <w:rFonts w:ascii="Verdana" w:hAnsi="Verdana"/>
          <w:sz w:val="20"/>
          <w:szCs w:val="20"/>
        </w:rPr>
        <w:t>es el s</w:t>
      </w:r>
      <w:r w:rsidR="00B168BA" w:rsidRPr="00912847">
        <w:rPr>
          <w:rFonts w:ascii="Verdana" w:hAnsi="Verdana"/>
          <w:sz w:val="20"/>
          <w:szCs w:val="20"/>
        </w:rPr>
        <w:t>aldo</w:t>
      </w:r>
      <w:r w:rsidR="00912847" w:rsidRPr="00912847">
        <w:rPr>
          <w:rFonts w:ascii="Verdana" w:hAnsi="Verdana"/>
          <w:sz w:val="20"/>
          <w:szCs w:val="20"/>
        </w:rPr>
        <w:t xml:space="preserve"> de los depósitos a la vista en la línea de </w:t>
      </w:r>
      <w:r w:rsidR="00912847" w:rsidRPr="00663F6B">
        <w:rPr>
          <w:rFonts w:ascii="Verdana" w:hAnsi="Verdana"/>
          <w:sz w:val="20"/>
          <w:szCs w:val="20"/>
        </w:rPr>
        <w:t xml:space="preserve">negocio </w:t>
      </w:r>
      <m:oMath>
        <m:r>
          <w:rPr>
            <w:rFonts w:ascii="Cambria Math" w:hAnsi="Cambria Math"/>
            <w:sz w:val="20"/>
            <w:szCs w:val="20"/>
          </w:rPr>
          <m:t>i</m:t>
        </m:r>
      </m:oMath>
      <w:r w:rsidR="00912847" w:rsidRPr="00663F6B">
        <w:rPr>
          <w:rFonts w:ascii="Verdana" w:hAnsi="Verdana"/>
          <w:sz w:val="20"/>
          <w:szCs w:val="20"/>
        </w:rPr>
        <w:t xml:space="preserve"> en el mes </w:t>
      </w:r>
      <m:oMath>
        <m:r>
          <w:rPr>
            <w:rFonts w:ascii="Cambria Math" w:hAnsi="Cambria Math"/>
            <w:sz w:val="20"/>
            <w:szCs w:val="20"/>
          </w:rPr>
          <m:t>t</m:t>
        </m:r>
        <m:r>
          <m:rPr>
            <m:sty m:val="p"/>
          </m:rPr>
          <w:rPr>
            <w:rFonts w:ascii="Cambria Math" w:hAnsi="Cambria Math"/>
            <w:sz w:val="20"/>
            <w:szCs w:val="20"/>
          </w:rPr>
          <m:t>-12</m:t>
        </m:r>
      </m:oMath>
      <w:r w:rsidR="00912847" w:rsidRPr="00663F6B">
        <w:rPr>
          <w:rFonts w:ascii="Verdana" w:hAnsi="Verdana"/>
          <w:sz w:val="20"/>
          <w:szCs w:val="20"/>
        </w:rPr>
        <w:t>.</w:t>
      </w:r>
    </w:p>
    <w:p w14:paraId="12252DD7" w14:textId="5236A5C3" w:rsidR="00DA1F57" w:rsidRDefault="00663F6B" w:rsidP="007926CC">
      <w:pPr>
        <w:jc w:val="both"/>
        <w:rPr>
          <w:rFonts w:ascii="Verdana" w:hAnsi="Verdana"/>
          <w:sz w:val="20"/>
          <w:szCs w:val="20"/>
        </w:rPr>
      </w:pPr>
      <m:oMath>
        <m:r>
          <w:rPr>
            <w:rFonts w:ascii="Cambria Math" w:hAnsi="Cambria Math"/>
            <w:sz w:val="20"/>
            <w:szCs w:val="20"/>
          </w:rPr>
          <m:t>i</m:t>
        </m:r>
      </m:oMath>
      <w:r w:rsidR="00912847" w:rsidRPr="11388FA0">
        <w:rPr>
          <w:rFonts w:ascii="Verdana" w:hAnsi="Verdana"/>
          <w:sz w:val="20"/>
          <w:szCs w:val="20"/>
        </w:rPr>
        <w:t>:</w:t>
      </w:r>
      <w:r w:rsidR="00912847" w:rsidRPr="00912847">
        <w:rPr>
          <w:rFonts w:ascii="Verdana" w:hAnsi="Verdana"/>
          <w:sz w:val="20"/>
          <w:szCs w:val="20"/>
        </w:rPr>
        <w:t xml:space="preserve"> </w:t>
      </w:r>
      <w:r w:rsidR="00B168BA">
        <w:rPr>
          <w:rFonts w:ascii="Verdana" w:hAnsi="Verdana"/>
          <w:sz w:val="20"/>
          <w:szCs w:val="20"/>
        </w:rPr>
        <w:t>es el c</w:t>
      </w:r>
      <w:r w:rsidR="00912847" w:rsidRPr="00912847">
        <w:rPr>
          <w:rFonts w:ascii="Verdana" w:hAnsi="Verdana"/>
          <w:sz w:val="20"/>
          <w:szCs w:val="20"/>
        </w:rPr>
        <w:t xml:space="preserve">onjunto de líneas de negocio. Estas líneas corresponden a la segmentación definida </w:t>
      </w:r>
      <w:r w:rsidR="008E0D47" w:rsidRPr="00935E73">
        <w:rPr>
          <w:rFonts w:ascii="Verdana" w:hAnsi="Verdana"/>
          <w:sz w:val="20"/>
          <w:szCs w:val="20"/>
        </w:rPr>
        <w:t>entre</w:t>
      </w:r>
      <w:r w:rsidR="008E0D47">
        <w:rPr>
          <w:rFonts w:ascii="Verdana" w:hAnsi="Verdana"/>
          <w:sz w:val="20"/>
          <w:szCs w:val="20"/>
        </w:rPr>
        <w:t xml:space="preserve"> los párrafos 1.1.A12.17. y 1.1.A12.27.</w:t>
      </w:r>
    </w:p>
    <w:p w14:paraId="0976C5F0" w14:textId="097CF512" w:rsidR="00233777" w:rsidRPr="00964B84" w:rsidRDefault="00233777" w:rsidP="00233777">
      <w:pPr>
        <w:spacing w:after="0"/>
        <w:rPr>
          <w:rFonts w:ascii="Verdana" w:hAnsi="Verdana"/>
          <w:sz w:val="20"/>
          <w:szCs w:val="20"/>
        </w:rPr>
      </w:pPr>
      <w:r w:rsidRPr="688A6030">
        <w:rPr>
          <w:rFonts w:ascii="Verdana" w:hAnsi="Verdana"/>
          <w:sz w:val="20"/>
          <w:szCs w:val="20"/>
        </w:rPr>
        <w:t>1.1.A12.</w:t>
      </w:r>
      <w:r w:rsidR="496EECE1" w:rsidRPr="688A6030">
        <w:rPr>
          <w:rFonts w:ascii="Verdana" w:hAnsi="Verdana"/>
          <w:sz w:val="20"/>
          <w:szCs w:val="20"/>
        </w:rPr>
        <w:t>2</w:t>
      </w:r>
      <w:r w:rsidR="00702C14">
        <w:rPr>
          <w:rFonts w:ascii="Verdana" w:hAnsi="Verdana"/>
          <w:sz w:val="20"/>
          <w:szCs w:val="20"/>
        </w:rPr>
        <w:t>4</w:t>
      </w:r>
      <w:r w:rsidRPr="688A6030">
        <w:rPr>
          <w:rFonts w:ascii="Verdana" w:hAnsi="Verdana"/>
          <w:sz w:val="20"/>
          <w:szCs w:val="20"/>
        </w:rPr>
        <w:t>.</w:t>
      </w:r>
    </w:p>
    <w:p w14:paraId="30F4FAF9" w14:textId="45956021" w:rsidR="00912847" w:rsidRPr="00912847" w:rsidRDefault="00912847" w:rsidP="00233777">
      <w:pPr>
        <w:jc w:val="both"/>
        <w:rPr>
          <w:rFonts w:ascii="Verdana" w:hAnsi="Verdana"/>
          <w:sz w:val="20"/>
          <w:szCs w:val="20"/>
        </w:rPr>
      </w:pPr>
      <w:r w:rsidRPr="00912847">
        <w:rPr>
          <w:rFonts w:ascii="Verdana" w:hAnsi="Verdana"/>
          <w:sz w:val="20"/>
          <w:szCs w:val="20"/>
        </w:rPr>
        <w:t>A partir de las variaciones anuales de cada mes determinadas anteriormente, donde</w:t>
      </w:r>
      <w:r w:rsidRPr="00974F05">
        <w:rPr>
          <w:rFonts w:ascii="Verdana" w:hAnsi="Verdana"/>
          <w:bCs/>
          <w:sz w:val="20"/>
          <w:szCs w:val="20"/>
        </w:rPr>
        <w:t xml:space="preserve"> </w:t>
      </w:r>
      <m:oMath>
        <m:r>
          <w:rPr>
            <w:rFonts w:ascii="Cambria Math" w:hAnsi="Cambria Math"/>
            <w:sz w:val="20"/>
            <w:szCs w:val="20"/>
          </w:rPr>
          <m:t>t=13</m:t>
        </m:r>
      </m:oMath>
      <w:r w:rsidRPr="00912847">
        <w:rPr>
          <w:rFonts w:ascii="Verdana" w:hAnsi="Verdana"/>
          <w:sz w:val="20"/>
          <w:szCs w:val="20"/>
        </w:rPr>
        <w:t xml:space="preserve"> es el primer mes para el cual existe variación anual, la entidad debe construir la siguiente serie:</w:t>
      </w:r>
    </w:p>
    <w:p w14:paraId="4060EDD3" w14:textId="63610900" w:rsidR="00912847" w:rsidRPr="007926CC" w:rsidRDefault="00B06431" w:rsidP="00912847">
      <w:pPr>
        <w:ind w:left="426"/>
        <w:jc w:val="center"/>
        <w:rPr>
          <w:rFonts w:ascii="Verdana" w:hAnsi="Verdana"/>
          <w:i/>
          <w:sz w:val="20"/>
          <w:szCs w:val="20"/>
        </w:rPr>
      </w:pPr>
      <m:oMathPara>
        <m:oMath>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e>
                <m:sub>
                  <m:r>
                    <w:rPr>
                      <w:rFonts w:ascii="Cambria Math" w:hAnsi="Cambria Math"/>
                      <w:sz w:val="20"/>
                      <w:szCs w:val="20"/>
                    </w:rPr>
                    <m:t>13</m:t>
                  </m:r>
                </m:sub>
              </m:sSub>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e>
                <m:sub>
                  <m:r>
                    <w:rPr>
                      <w:rFonts w:ascii="Cambria Math" w:hAnsi="Cambria Math"/>
                      <w:sz w:val="20"/>
                      <w:szCs w:val="20"/>
                    </w:rPr>
                    <m:t>14</m:t>
                  </m:r>
                </m:sub>
              </m:sSub>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e>
                <m:sub>
                  <m:r>
                    <w:rPr>
                      <w:rFonts w:ascii="Cambria Math" w:hAnsi="Cambria Math"/>
                      <w:sz w:val="20"/>
                      <w:szCs w:val="20"/>
                    </w:rPr>
                    <m:t>T</m:t>
                  </m:r>
                </m:sub>
              </m:sSub>
            </m:e>
          </m:d>
        </m:oMath>
      </m:oMathPara>
    </w:p>
    <w:p w14:paraId="6190A126" w14:textId="77777777" w:rsidR="00912847" w:rsidRPr="00912847" w:rsidRDefault="00912847" w:rsidP="007926CC">
      <w:pPr>
        <w:jc w:val="both"/>
        <w:rPr>
          <w:rFonts w:ascii="Verdana" w:hAnsi="Verdana"/>
          <w:sz w:val="20"/>
          <w:szCs w:val="20"/>
        </w:rPr>
      </w:pPr>
      <w:r w:rsidRPr="00912847">
        <w:rPr>
          <w:rFonts w:ascii="Verdana" w:hAnsi="Verdana"/>
          <w:sz w:val="20"/>
          <w:szCs w:val="20"/>
        </w:rPr>
        <w:t>Donde:</w:t>
      </w:r>
    </w:p>
    <w:p w14:paraId="363F41F4" w14:textId="4C246180" w:rsidR="00912847" w:rsidRPr="00912847" w:rsidRDefault="00B06431" w:rsidP="007926CC">
      <w:pPr>
        <w:jc w:val="both"/>
        <w:rPr>
          <w:rFonts w:ascii="Verdana" w:hAnsi="Verdana"/>
          <w:sz w:val="20"/>
          <w:szCs w:val="20"/>
        </w:rPr>
      </w:pPr>
      <m:oMath>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oMath>
      <w:r w:rsidR="00912847" w:rsidRPr="007926CC">
        <w:rPr>
          <w:rFonts w:ascii="Verdana" w:hAnsi="Verdana"/>
          <w:sz w:val="20"/>
          <w:szCs w:val="20"/>
        </w:rPr>
        <w:t>:</w:t>
      </w:r>
      <w:r w:rsidR="00912847" w:rsidRPr="00912847">
        <w:rPr>
          <w:rFonts w:ascii="Verdana" w:hAnsi="Verdana"/>
          <w:sz w:val="20"/>
          <w:szCs w:val="20"/>
        </w:rPr>
        <w:t xml:space="preserve"> </w:t>
      </w:r>
      <w:r w:rsidR="007926CC">
        <w:rPr>
          <w:rFonts w:ascii="Verdana" w:hAnsi="Verdana"/>
          <w:sz w:val="20"/>
          <w:szCs w:val="20"/>
        </w:rPr>
        <w:t>es la s</w:t>
      </w:r>
      <w:r w:rsidR="00912847" w:rsidRPr="00912847">
        <w:rPr>
          <w:rFonts w:ascii="Verdana" w:hAnsi="Verdana"/>
          <w:sz w:val="20"/>
          <w:szCs w:val="20"/>
        </w:rPr>
        <w:t xml:space="preserve">erie de las variaciones anuales de los saldos mensuales de los depósitos a la vista en la línea de negocio </w:t>
      </w:r>
      <m:oMath>
        <m:r>
          <w:rPr>
            <w:rFonts w:ascii="Cambria Math" w:hAnsi="Cambria Math"/>
            <w:sz w:val="20"/>
            <w:szCs w:val="20"/>
          </w:rPr>
          <m:t>i</m:t>
        </m:r>
      </m:oMath>
      <w:r w:rsidR="00912847" w:rsidRPr="007926CC">
        <w:rPr>
          <w:rFonts w:ascii="Verdana" w:hAnsi="Verdana"/>
          <w:bCs/>
          <w:sz w:val="20"/>
          <w:szCs w:val="20"/>
        </w:rPr>
        <w:t>.</w:t>
      </w:r>
    </w:p>
    <w:p w14:paraId="526D2132" w14:textId="6835B75C" w:rsidR="00974F05" w:rsidRPr="007926CC" w:rsidDel="002D72E7" w:rsidRDefault="007926CC" w:rsidP="007926CC">
      <w:pPr>
        <w:jc w:val="both"/>
        <w:rPr>
          <w:rFonts w:ascii="Verdana" w:hAnsi="Verdana"/>
          <w:bCs/>
          <w:sz w:val="20"/>
          <w:szCs w:val="20"/>
        </w:rPr>
      </w:pPr>
      <m:oMath>
        <m:r>
          <w:rPr>
            <w:rFonts w:ascii="Cambria Math" w:hAnsi="Cambria Math"/>
            <w:sz w:val="20"/>
            <w:szCs w:val="20"/>
          </w:rPr>
          <m:t>T</m:t>
        </m:r>
      </m:oMath>
      <w:r w:rsidR="00912847" w:rsidRPr="007926CC" w:rsidDel="002D72E7">
        <w:rPr>
          <w:rFonts w:ascii="Verdana" w:hAnsi="Verdana"/>
          <w:bCs/>
          <w:sz w:val="20"/>
          <w:szCs w:val="20"/>
        </w:rPr>
        <w:t>:</w:t>
      </w:r>
      <w:r w:rsidR="00912847" w:rsidRPr="00912847" w:rsidDel="002D72E7">
        <w:rPr>
          <w:rFonts w:ascii="Verdana" w:hAnsi="Verdana"/>
          <w:sz w:val="20"/>
          <w:szCs w:val="20"/>
        </w:rPr>
        <w:t xml:space="preserve"> </w:t>
      </w:r>
      <w:r>
        <w:rPr>
          <w:rFonts w:ascii="Verdana" w:hAnsi="Verdana"/>
          <w:sz w:val="20"/>
          <w:szCs w:val="20"/>
        </w:rPr>
        <w:t>es el n</w:t>
      </w:r>
      <w:r w:rsidR="00912847" w:rsidRPr="00912847" w:rsidDel="002D72E7">
        <w:rPr>
          <w:rFonts w:ascii="Verdana" w:hAnsi="Verdana"/>
          <w:sz w:val="20"/>
          <w:szCs w:val="20"/>
        </w:rPr>
        <w:t xml:space="preserve">úmero de meses para los cuales se tiene información de los respectivos saldos de los depósitos a la vista para la línea de negocio </w:t>
      </w:r>
      <m:oMath>
        <m:r>
          <w:rPr>
            <w:rFonts w:ascii="Cambria Math" w:hAnsi="Cambria Math"/>
            <w:sz w:val="20"/>
            <w:szCs w:val="20"/>
          </w:rPr>
          <m:t>i</m:t>
        </m:r>
      </m:oMath>
      <w:r w:rsidR="00912847" w:rsidRPr="007926CC" w:rsidDel="002D72E7">
        <w:rPr>
          <w:rFonts w:ascii="Verdana" w:hAnsi="Verdana"/>
          <w:bCs/>
          <w:sz w:val="20"/>
          <w:szCs w:val="20"/>
        </w:rPr>
        <w:t>.</w:t>
      </w:r>
    </w:p>
    <w:p w14:paraId="17F87E76" w14:textId="28F8B38A" w:rsidR="00716C4F" w:rsidRPr="00663F6B" w:rsidRDefault="009C19D4" w:rsidP="00663F6B">
      <w:pPr>
        <w:pStyle w:val="Prrafodelista"/>
        <w:numPr>
          <w:ilvl w:val="0"/>
          <w:numId w:val="17"/>
        </w:numPr>
        <w:ind w:left="851" w:hanging="284"/>
        <w:jc w:val="both"/>
        <w:rPr>
          <w:rFonts w:ascii="Verdana" w:hAnsi="Verdana"/>
          <w:sz w:val="20"/>
          <w:szCs w:val="20"/>
        </w:rPr>
      </w:pPr>
      <w:r>
        <w:rPr>
          <w:rFonts w:ascii="Verdana" w:hAnsi="Verdana"/>
          <w:b/>
          <w:bCs/>
          <w:sz w:val="20"/>
          <w:szCs w:val="20"/>
        </w:rPr>
        <w:t>Calcular el f</w:t>
      </w:r>
      <w:r w:rsidR="00912847" w:rsidRPr="00663F6B">
        <w:rPr>
          <w:rFonts w:ascii="Verdana" w:hAnsi="Verdana"/>
          <w:b/>
          <w:bCs/>
          <w:sz w:val="20"/>
          <w:szCs w:val="20"/>
        </w:rPr>
        <w:t>actor estimado</w:t>
      </w:r>
    </w:p>
    <w:p w14:paraId="1CD7AAA6" w14:textId="3AA0F547" w:rsidR="00716C4F" w:rsidRPr="00964B84" w:rsidRDefault="00716C4F" w:rsidP="00716C4F">
      <w:pPr>
        <w:spacing w:after="0"/>
        <w:rPr>
          <w:rFonts w:ascii="Verdana" w:hAnsi="Verdana"/>
          <w:sz w:val="20"/>
          <w:szCs w:val="20"/>
        </w:rPr>
      </w:pPr>
      <w:r w:rsidRPr="688A6030">
        <w:rPr>
          <w:rFonts w:ascii="Verdana" w:hAnsi="Verdana"/>
          <w:sz w:val="20"/>
          <w:szCs w:val="20"/>
        </w:rPr>
        <w:t>1.1.A12.</w:t>
      </w:r>
      <w:r w:rsidR="6DFCDE02" w:rsidRPr="688A6030">
        <w:rPr>
          <w:rFonts w:ascii="Verdana" w:hAnsi="Verdana"/>
          <w:sz w:val="20"/>
          <w:szCs w:val="20"/>
        </w:rPr>
        <w:t>2</w:t>
      </w:r>
      <w:r w:rsidR="00702C14">
        <w:rPr>
          <w:rFonts w:ascii="Verdana" w:hAnsi="Verdana"/>
          <w:sz w:val="20"/>
          <w:szCs w:val="20"/>
        </w:rPr>
        <w:t>5</w:t>
      </w:r>
      <w:r w:rsidRPr="688A6030">
        <w:rPr>
          <w:rFonts w:ascii="Verdana" w:hAnsi="Verdana"/>
          <w:sz w:val="20"/>
          <w:szCs w:val="20"/>
        </w:rPr>
        <w:t>.</w:t>
      </w:r>
    </w:p>
    <w:p w14:paraId="7F5E3069" w14:textId="77777777" w:rsidR="00912847" w:rsidRPr="00912847" w:rsidRDefault="00912847" w:rsidP="003B2957">
      <w:pPr>
        <w:jc w:val="both"/>
        <w:rPr>
          <w:rFonts w:ascii="Verdana" w:hAnsi="Verdana"/>
          <w:sz w:val="20"/>
          <w:szCs w:val="20"/>
        </w:rPr>
      </w:pPr>
      <w:r w:rsidRPr="00912847">
        <w:rPr>
          <w:rFonts w:ascii="Verdana" w:hAnsi="Verdana"/>
          <w:sz w:val="20"/>
          <w:szCs w:val="20"/>
        </w:rPr>
        <w:t>Para este cálculo se realizan los siguientes pasos:</w:t>
      </w:r>
    </w:p>
    <w:p w14:paraId="10C53BE1" w14:textId="4931B2FC" w:rsidR="00912847" w:rsidRPr="009C19D4" w:rsidRDefault="00912847" w:rsidP="009C19D4">
      <w:pPr>
        <w:pStyle w:val="Prrafodelista"/>
        <w:numPr>
          <w:ilvl w:val="0"/>
          <w:numId w:val="18"/>
        </w:numPr>
        <w:spacing w:after="0"/>
        <w:ind w:left="567" w:hanging="567"/>
        <w:rPr>
          <w:rFonts w:ascii="Verdana" w:hAnsi="Verdana"/>
          <w:sz w:val="20"/>
          <w:szCs w:val="20"/>
        </w:rPr>
      </w:pPr>
      <w:r w:rsidRPr="009C19D4">
        <w:rPr>
          <w:rFonts w:ascii="Verdana" w:hAnsi="Verdana"/>
          <w:sz w:val="20"/>
          <w:szCs w:val="20"/>
        </w:rPr>
        <w:lastRenderedPageBreak/>
        <w:t xml:space="preserve">Para cada mes </w:t>
      </w:r>
      <m:oMath>
        <m:r>
          <w:rPr>
            <w:rFonts w:ascii="Cambria Math" w:hAnsi="Cambria Math"/>
            <w:sz w:val="20"/>
            <w:szCs w:val="20"/>
          </w:rPr>
          <m:t>t</m:t>
        </m:r>
      </m:oMath>
      <w:r w:rsidRPr="009C19D4">
        <w:rPr>
          <w:rFonts w:ascii="Verdana" w:hAnsi="Verdana"/>
          <w:sz w:val="20"/>
          <w:szCs w:val="20"/>
        </w:rPr>
        <w:t xml:space="preserve"> , tomar el percentil </w:t>
      </w:r>
      <m:oMath>
        <m:r>
          <m:rPr>
            <m:sty m:val="p"/>
          </m:rPr>
          <w:rPr>
            <w:rFonts w:ascii="Cambria Math" w:hAnsi="Cambria Math"/>
            <w:sz w:val="20"/>
            <w:szCs w:val="20"/>
          </w:rPr>
          <m:t>99</m:t>
        </m:r>
      </m:oMath>
      <w:r w:rsidRPr="009C19D4">
        <w:rPr>
          <w:rFonts w:ascii="Verdana" w:hAnsi="Verdana"/>
          <w:sz w:val="20"/>
          <w:szCs w:val="20"/>
        </w:rPr>
        <w:t xml:space="preserve"> del conjunto de las variaciones anuales comprendidas entre el mes </w:t>
      </w:r>
      <m:oMath>
        <m:r>
          <w:rPr>
            <w:rFonts w:ascii="Cambria Math" w:hAnsi="Cambria Math"/>
            <w:sz w:val="20"/>
            <w:szCs w:val="20"/>
          </w:rPr>
          <m:t>t</m:t>
        </m:r>
      </m:oMath>
      <w:r w:rsidRPr="009C19D4">
        <w:rPr>
          <w:rFonts w:ascii="Verdana" w:hAnsi="Verdana"/>
          <w:sz w:val="20"/>
          <w:szCs w:val="20"/>
        </w:rPr>
        <w:t xml:space="preserve"> y el mes </w:t>
      </w:r>
      <m:oMath>
        <m:r>
          <w:rPr>
            <w:rFonts w:ascii="Cambria Math" w:hAnsi="Cambria Math"/>
            <w:sz w:val="20"/>
            <w:szCs w:val="20"/>
          </w:rPr>
          <m:t>t</m:t>
        </m:r>
        <m:r>
          <m:rPr>
            <m:sty m:val="p"/>
          </m:rPr>
          <w:rPr>
            <w:rFonts w:ascii="Cambria Math" w:hAnsi="Cambria Math"/>
            <w:sz w:val="20"/>
            <w:szCs w:val="20"/>
          </w:rPr>
          <m:t>-11</m:t>
        </m:r>
      </m:oMath>
      <w:r w:rsidRPr="009C19D4">
        <w:rPr>
          <w:rFonts w:ascii="Verdana" w:hAnsi="Verdana"/>
          <w:sz w:val="20"/>
          <w:szCs w:val="20"/>
        </w:rPr>
        <w:t xml:space="preserve"> de la serie </w:t>
      </w:r>
      <m:oMath>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oMath>
      <w:r w:rsidRPr="009C19D4">
        <w:rPr>
          <w:rFonts w:ascii="Verdana" w:hAnsi="Verdana"/>
          <w:sz w:val="20"/>
          <w:szCs w:val="20"/>
        </w:rPr>
        <w:t xml:space="preserve">, donde </w:t>
      </w:r>
      <m:oMath>
        <m:r>
          <w:rPr>
            <w:rFonts w:ascii="Cambria Math" w:hAnsi="Cambria Math"/>
            <w:sz w:val="20"/>
            <w:szCs w:val="20"/>
          </w:rPr>
          <m:t>t=24</m:t>
        </m:r>
      </m:oMath>
      <w:r w:rsidRPr="009C19D4">
        <w:rPr>
          <w:rFonts w:ascii="Verdana" w:hAnsi="Verdana"/>
          <w:sz w:val="20"/>
          <w:szCs w:val="20"/>
        </w:rPr>
        <w:t xml:space="preserve"> es el primer mes para el cual se puede construir un subconjunto de 12 variaciones anuales previas.</w:t>
      </w:r>
    </w:p>
    <w:p w14:paraId="2436C648" w14:textId="77777777" w:rsidR="009C19D4" w:rsidRPr="009C19D4" w:rsidRDefault="009C19D4" w:rsidP="009C19D4">
      <w:pPr>
        <w:pStyle w:val="Prrafodelista"/>
        <w:spacing w:after="0"/>
        <w:ind w:left="567"/>
        <w:rPr>
          <w:rFonts w:ascii="Verdana" w:hAnsi="Verdana"/>
          <w:sz w:val="20"/>
          <w:szCs w:val="20"/>
        </w:rPr>
      </w:pPr>
    </w:p>
    <w:p w14:paraId="7996D7BD" w14:textId="737FE512" w:rsidR="00912847" w:rsidRPr="009C19D4" w:rsidRDefault="00B06431" w:rsidP="00912847">
      <w:pPr>
        <w:contextualSpacing/>
        <w:jc w:val="center"/>
        <w:rPr>
          <w:rFonts w:ascii="Verdana" w:hAnsi="Verdana"/>
          <w:sz w:val="20"/>
          <w:szCs w:val="20"/>
        </w:rPr>
      </w:pPr>
      <m:oMathPara>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99</m:t>
                  </m:r>
                </m:sub>
              </m:sSub>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m:t>
                  </m:r>
                </m:sub>
              </m:sSub>
            </m:sub>
          </m:sSub>
          <m:r>
            <w:rPr>
              <w:rFonts w:ascii="Cambria Math" w:hAnsi="Cambria Math"/>
              <w:sz w:val="20"/>
              <w:szCs w:val="20"/>
            </w:rPr>
            <m:t>= percentil(</m:t>
          </m:r>
          <m:sSubSup>
            <m:sSubSupPr>
              <m:ctrlPr>
                <w:rPr>
                  <w:rFonts w:ascii="Cambria Math" w:hAnsi="Cambria Math"/>
                  <w:i/>
                  <w:sz w:val="20"/>
                  <w:szCs w:val="20"/>
                </w:rPr>
              </m:ctrlPr>
            </m:sSubSupPr>
            <m:e>
              <m:r>
                <w:rPr>
                  <w:rFonts w:ascii="Cambria Math" w:hAnsi="Cambria Math"/>
                  <w:sz w:val="20"/>
                  <w:szCs w:val="20"/>
                </w:rPr>
                <m:t>Variación anual</m:t>
              </m:r>
            </m:e>
            <m:sub>
              <m:r>
                <w:rPr>
                  <w:rFonts w:ascii="Cambria Math" w:hAnsi="Cambria Math"/>
                  <w:sz w:val="20"/>
                  <w:szCs w:val="20"/>
                </w:rPr>
                <m:t>i</m:t>
              </m:r>
            </m:sub>
            <m:sup>
              <m:r>
                <w:rPr>
                  <w:rFonts w:ascii="Cambria Math" w:hAnsi="Cambria Math"/>
                  <w:sz w:val="20"/>
                  <w:szCs w:val="20"/>
                </w:rPr>
                <m:t>t</m:t>
              </m:r>
            </m:sup>
          </m:sSubSup>
          <m:r>
            <w:rPr>
              <w:rFonts w:ascii="Cambria Math" w:hAnsi="Cambria Math"/>
              <w:sz w:val="20"/>
              <w:szCs w:val="20"/>
            </w:rPr>
            <m:t xml:space="preserve"> ,99)</m:t>
          </m:r>
        </m:oMath>
      </m:oMathPara>
    </w:p>
    <w:p w14:paraId="5755D6BD" w14:textId="77777777" w:rsidR="00912847" w:rsidRPr="009C19D4" w:rsidRDefault="00912847" w:rsidP="009C19D4">
      <w:pPr>
        <w:ind w:left="567"/>
        <w:jc w:val="both"/>
        <w:rPr>
          <w:rFonts w:ascii="Verdana" w:hAnsi="Verdana"/>
          <w:sz w:val="20"/>
          <w:szCs w:val="20"/>
        </w:rPr>
      </w:pPr>
      <w:r w:rsidRPr="009C19D4">
        <w:rPr>
          <w:rFonts w:ascii="Verdana" w:hAnsi="Verdana"/>
          <w:sz w:val="20"/>
          <w:szCs w:val="20"/>
        </w:rPr>
        <w:t>Donde:</w:t>
      </w:r>
    </w:p>
    <w:p w14:paraId="34333D51" w14:textId="5BB05ACB" w:rsidR="00912847" w:rsidRPr="009C19D4" w:rsidRDefault="009C19D4" w:rsidP="009C19D4">
      <w:pPr>
        <w:ind w:left="567"/>
        <w:jc w:val="both"/>
        <w:rPr>
          <w:rFonts w:ascii="Verdana" w:hAnsi="Verdana"/>
          <w:sz w:val="20"/>
          <w:szCs w:val="20"/>
        </w:rPr>
      </w:pPr>
      <m:oMath>
        <m:r>
          <m:rPr>
            <m:sty m:val="p"/>
          </m:rPr>
          <w:rPr>
            <w:rFonts w:ascii="Cambria Math" w:hAnsi="Cambria Math"/>
            <w:sz w:val="20"/>
            <w:szCs w:val="20"/>
          </w:rPr>
          <m:t>t = 24, 25, …,</m:t>
        </m:r>
        <m:r>
          <w:rPr>
            <w:rFonts w:ascii="Cambria Math" w:hAnsi="Cambria Math"/>
            <w:sz w:val="20"/>
            <w:szCs w:val="20"/>
          </w:rPr>
          <m:t>T</m:t>
        </m:r>
      </m:oMath>
      <w:r w:rsidR="00912847" w:rsidRPr="009C19D4">
        <w:rPr>
          <w:rFonts w:ascii="Verdana" w:hAnsi="Verdana"/>
          <w:i/>
          <w:sz w:val="20"/>
          <w:szCs w:val="20"/>
        </w:rPr>
        <w:t>.</w:t>
      </w:r>
    </w:p>
    <w:p w14:paraId="786219E3" w14:textId="65BA3396" w:rsidR="00912847" w:rsidRPr="009C19D4" w:rsidRDefault="00B06431" w:rsidP="009C19D4">
      <w:pPr>
        <w:ind w:left="567"/>
        <w:jc w:val="both"/>
        <w:rPr>
          <w:rFonts w:ascii="Verdana" w:hAnsi="Verdana"/>
          <w:sz w:val="20"/>
          <w:szCs w:val="20"/>
        </w:rPr>
      </w:pP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99</m:t>
                </m:r>
              </m:sub>
            </m:sSub>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m:t>
                </m:r>
              </m:sub>
            </m:sSub>
          </m:sub>
        </m:sSub>
      </m:oMath>
      <w:r w:rsidR="00912847" w:rsidRPr="009C19D4">
        <w:rPr>
          <w:rFonts w:ascii="Verdana" w:hAnsi="Verdana"/>
          <w:i/>
          <w:sz w:val="20"/>
          <w:szCs w:val="20"/>
        </w:rPr>
        <w:t>:</w:t>
      </w:r>
      <w:r w:rsidR="00912847" w:rsidRPr="009C19D4">
        <w:rPr>
          <w:rFonts w:ascii="Verdana" w:hAnsi="Verdana"/>
          <w:sz w:val="20"/>
          <w:szCs w:val="20"/>
        </w:rPr>
        <w:t xml:space="preserve"> el percentil </w:t>
      </w:r>
      <m:oMath>
        <m:r>
          <m:rPr>
            <m:sty m:val="p"/>
          </m:rPr>
          <w:rPr>
            <w:rFonts w:ascii="Cambria Math" w:hAnsi="Cambria Math"/>
            <w:sz w:val="20"/>
            <w:szCs w:val="20"/>
          </w:rPr>
          <m:t>99</m:t>
        </m:r>
      </m:oMath>
      <w:r w:rsidR="00912847" w:rsidRPr="009C19D4">
        <w:rPr>
          <w:rFonts w:ascii="Verdana" w:hAnsi="Verdana"/>
          <w:sz w:val="20"/>
          <w:szCs w:val="20"/>
        </w:rPr>
        <w:t xml:space="preserve"> del conjunto de 12 variaciones anuales desde el mes </w:t>
      </w:r>
      <m:oMath>
        <m:r>
          <w:rPr>
            <w:rFonts w:ascii="Cambria Math" w:hAnsi="Cambria Math"/>
            <w:sz w:val="20"/>
            <w:szCs w:val="20"/>
          </w:rPr>
          <m:t>t</m:t>
        </m:r>
      </m:oMath>
      <w:r w:rsidR="00912847" w:rsidRPr="009C19D4">
        <w:rPr>
          <w:rFonts w:ascii="Verdana" w:hAnsi="Verdana"/>
          <w:sz w:val="20"/>
          <w:szCs w:val="20"/>
        </w:rPr>
        <w:t xml:space="preserve"> hasta el mes </w:t>
      </w:r>
      <m:oMath>
        <m:r>
          <w:rPr>
            <w:rFonts w:ascii="Cambria Math" w:hAnsi="Cambria Math"/>
            <w:sz w:val="20"/>
            <w:szCs w:val="20"/>
          </w:rPr>
          <m:t>t</m:t>
        </m:r>
        <m:r>
          <m:rPr>
            <m:sty m:val="p"/>
          </m:rPr>
          <w:rPr>
            <w:rFonts w:ascii="Cambria Math" w:hAnsi="Cambria Math"/>
            <w:sz w:val="20"/>
            <w:szCs w:val="20"/>
          </w:rPr>
          <m:t>-11</m:t>
        </m:r>
      </m:oMath>
      <w:r w:rsidR="00912847" w:rsidRPr="009C19D4">
        <w:rPr>
          <w:rFonts w:ascii="Verdana" w:hAnsi="Verdana"/>
          <w:sz w:val="20"/>
          <w:szCs w:val="20"/>
        </w:rPr>
        <w:t xml:space="preserve"> de la serie </w:t>
      </w:r>
      <m:oMath>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oMath>
      <w:r w:rsidR="00912847" w:rsidRPr="009C19D4">
        <w:rPr>
          <w:rFonts w:ascii="Verdana" w:hAnsi="Verdana"/>
          <w:sz w:val="20"/>
          <w:szCs w:val="20"/>
        </w:rPr>
        <w:t>.</w:t>
      </w:r>
    </w:p>
    <w:p w14:paraId="0B4289D8" w14:textId="04BD801B" w:rsidR="00912847" w:rsidRPr="009C19D4" w:rsidRDefault="00B06431" w:rsidP="009C19D4">
      <w:pPr>
        <w:ind w:left="567"/>
        <w:jc w:val="both"/>
        <w:rPr>
          <w:rFonts w:ascii="Verdana" w:hAnsi="Verdana"/>
          <w:sz w:val="20"/>
          <w:szCs w:val="20"/>
        </w:rPr>
      </w:pPr>
      <m:oMath>
        <m:sSubSup>
          <m:sSubSupPr>
            <m:ctrlPr>
              <w:rPr>
                <w:rFonts w:ascii="Cambria Math" w:hAnsi="Cambria Math"/>
                <w:i/>
                <w:iCs/>
                <w:sz w:val="20"/>
                <w:szCs w:val="20"/>
              </w:rPr>
            </m:ctrlPr>
          </m:sSubSupPr>
          <m:e>
            <m:r>
              <w:rPr>
                <w:rFonts w:ascii="Cambria Math" w:hAnsi="Cambria Math"/>
                <w:sz w:val="20"/>
                <w:szCs w:val="20"/>
              </w:rPr>
              <m:t>Variación anual</m:t>
            </m:r>
          </m:e>
          <m:sub>
            <m:r>
              <w:rPr>
                <w:rFonts w:ascii="Cambria Math" w:hAnsi="Cambria Math"/>
                <w:sz w:val="20"/>
                <w:szCs w:val="20"/>
              </w:rPr>
              <m:t>i</m:t>
            </m:r>
          </m:sub>
          <m:sup>
            <m:r>
              <w:rPr>
                <w:rFonts w:ascii="Cambria Math" w:hAnsi="Cambria Math"/>
                <w:sz w:val="20"/>
                <w:szCs w:val="20"/>
              </w:rPr>
              <m:t>t</m:t>
            </m:r>
          </m:sup>
        </m:sSubSup>
        <m:r>
          <m:rPr>
            <m:sty m:val="p"/>
          </m:rPr>
          <w:rPr>
            <w:rFonts w:ascii="Cambria Math" w:hAnsi="Cambria Math"/>
            <w:sz w:val="20"/>
            <w:szCs w:val="20"/>
          </w:rPr>
          <m:t>:</m:t>
        </m:r>
      </m:oMath>
      <w:r w:rsidR="00912847" w:rsidRPr="009C19D4">
        <w:rPr>
          <w:rFonts w:ascii="Verdana" w:hAnsi="Verdana"/>
          <w:sz w:val="20"/>
          <w:szCs w:val="20"/>
        </w:rPr>
        <w:t xml:space="preserve"> subconjunto de 12 elementos de la serie </w:t>
      </w:r>
      <m:oMath>
        <m:sSub>
          <m:sSubPr>
            <m:ctrlPr>
              <w:rPr>
                <w:rFonts w:ascii="Cambria Math" w:hAnsi="Cambria Math"/>
                <w:i/>
                <w:sz w:val="20"/>
                <w:szCs w:val="20"/>
              </w:rPr>
            </m:ctrlPr>
          </m:sSubPr>
          <m:e>
            <m:r>
              <w:rPr>
                <w:rFonts w:ascii="Cambria Math" w:hAnsi="Cambria Math"/>
                <w:sz w:val="20"/>
                <w:szCs w:val="20"/>
              </w:rPr>
              <m:t>Variación anual</m:t>
            </m:r>
          </m:e>
          <m:sub>
            <m:r>
              <w:rPr>
                <w:rFonts w:ascii="Cambria Math" w:hAnsi="Cambria Math"/>
                <w:sz w:val="20"/>
                <w:szCs w:val="20"/>
              </w:rPr>
              <m:t>i</m:t>
            </m:r>
          </m:sub>
        </m:sSub>
      </m:oMath>
      <w:r w:rsidR="00912847" w:rsidRPr="009C19D4">
        <w:rPr>
          <w:rFonts w:ascii="Verdana" w:hAnsi="Verdana"/>
          <w:i/>
          <w:sz w:val="20"/>
          <w:szCs w:val="20"/>
        </w:rPr>
        <w:t xml:space="preserve">, </w:t>
      </w:r>
      <w:r w:rsidR="00912847" w:rsidRPr="009C19D4">
        <w:rPr>
          <w:rFonts w:ascii="Verdana" w:hAnsi="Verdana"/>
          <w:sz w:val="20"/>
          <w:szCs w:val="20"/>
        </w:rPr>
        <w:t xml:space="preserve">el cual incluye las variaciones anuales del mes </w:t>
      </w:r>
      <m:oMath>
        <m:r>
          <w:rPr>
            <w:rFonts w:ascii="Cambria Math" w:hAnsi="Cambria Math"/>
            <w:sz w:val="20"/>
            <w:szCs w:val="20"/>
          </w:rPr>
          <m:t>t</m:t>
        </m:r>
      </m:oMath>
      <w:r w:rsidR="00912847" w:rsidRPr="009C19D4">
        <w:rPr>
          <w:rFonts w:ascii="Verdana" w:hAnsi="Verdana"/>
          <w:sz w:val="20"/>
          <w:szCs w:val="20"/>
        </w:rPr>
        <w:t xml:space="preserve"> hasta el mes </w:t>
      </w:r>
      <m:oMath>
        <m:r>
          <w:rPr>
            <w:rFonts w:ascii="Cambria Math" w:hAnsi="Cambria Math"/>
            <w:sz w:val="20"/>
            <w:szCs w:val="20"/>
          </w:rPr>
          <m:t>t-11</m:t>
        </m:r>
      </m:oMath>
      <w:r w:rsidR="00912847" w:rsidRPr="009C19D4">
        <w:rPr>
          <w:rFonts w:ascii="Verdana" w:hAnsi="Verdana"/>
          <w:i/>
          <w:iCs/>
          <w:sz w:val="20"/>
          <w:szCs w:val="20"/>
        </w:rPr>
        <w:t>.</w:t>
      </w:r>
    </w:p>
    <w:p w14:paraId="590B6CFD" w14:textId="6071B1CD" w:rsidR="00912847" w:rsidRPr="00912847" w:rsidRDefault="00912847" w:rsidP="00E665ED">
      <w:pPr>
        <w:ind w:left="567"/>
        <w:jc w:val="both"/>
        <w:rPr>
          <w:rFonts w:ascii="Verdana" w:hAnsi="Verdana"/>
          <w:sz w:val="20"/>
          <w:szCs w:val="20"/>
        </w:rPr>
      </w:pPr>
      <w:r w:rsidRPr="00912847">
        <w:rPr>
          <w:rFonts w:ascii="Verdana" w:hAnsi="Verdana"/>
          <w:sz w:val="20"/>
          <w:szCs w:val="20"/>
        </w:rPr>
        <w:t>A partir de los percentiles determinados anteriormente, la entidad debe construir la siguiente serie:</w:t>
      </w:r>
    </w:p>
    <w:p w14:paraId="752E78AA" w14:textId="64DBB476" w:rsidR="00912847" w:rsidRPr="00E665ED" w:rsidRDefault="00B06431" w:rsidP="00912847">
      <w:pPr>
        <w:ind w:left="851"/>
        <w:contextualSpacing/>
        <w:jc w:val="center"/>
        <w:rPr>
          <w:rFonts w:ascii="Verdana" w:hAnsi="Verdana"/>
          <w:i/>
          <w:sz w:val="20"/>
          <w:szCs w:val="20"/>
        </w:rPr>
      </w:pPr>
      <m:oMathPara>
        <m:oMath>
          <m:sSub>
            <m:sSubPr>
              <m:ctrlPr>
                <w:rPr>
                  <w:rFonts w:ascii="Cambria Math" w:hAnsi="Cambria Math"/>
                  <w:i/>
                  <w:sz w:val="20"/>
                  <w:szCs w:val="20"/>
                </w:rPr>
              </m:ctrlPr>
            </m:sSubPr>
            <m:e>
              <m:r>
                <w:rPr>
                  <w:rFonts w:ascii="Cambria Math" w:hAnsi="Cambria Math"/>
                  <w:sz w:val="20"/>
                  <w:szCs w:val="20"/>
                </w:rPr>
                <m:t>P</m:t>
              </m:r>
            </m:e>
            <m:sub>
              <m:sSub>
                <m:sSubPr>
                  <m:ctrlPr>
                    <w:rPr>
                      <w:rFonts w:ascii="Cambria Math" w:hAnsi="Cambria Math"/>
                      <w:i/>
                      <w:sz w:val="20"/>
                      <w:szCs w:val="20"/>
                    </w:rPr>
                  </m:ctrlPr>
                </m:sSubPr>
                <m:e>
                  <m:r>
                    <w:rPr>
                      <w:rFonts w:ascii="Cambria Math" w:hAnsi="Cambria Math"/>
                      <w:sz w:val="20"/>
                      <w:szCs w:val="20"/>
                    </w:rPr>
                    <m:t>99</m:t>
                  </m:r>
                </m:e>
                <m:sub>
                  <m:r>
                    <w:rPr>
                      <w:rFonts w:ascii="Cambria Math" w:hAnsi="Cambria Math"/>
                      <w:sz w:val="20"/>
                      <w:szCs w:val="20"/>
                    </w:rPr>
                    <m:t>i</m:t>
                  </m:r>
                </m:sub>
              </m:sSub>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99</m:t>
                      </m:r>
                    </m:sub>
                  </m:sSub>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24</m:t>
                      </m:r>
                    </m:sub>
                  </m:sSub>
                </m:sub>
              </m:sSub>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99</m:t>
                      </m:r>
                    </m:sub>
                  </m:sSub>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25</m:t>
                      </m:r>
                    </m:sub>
                  </m:sSub>
                </m:sub>
              </m:sSub>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99</m:t>
                      </m:r>
                    </m:sub>
                  </m:sSub>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T</m:t>
                      </m:r>
                    </m:sub>
                  </m:sSub>
                </m:sub>
              </m:sSub>
            </m:e>
          </m:d>
        </m:oMath>
      </m:oMathPara>
    </w:p>
    <w:p w14:paraId="12D81017" w14:textId="77777777" w:rsidR="00912847" w:rsidRPr="00912847" w:rsidRDefault="00912847" w:rsidP="00912847">
      <w:pPr>
        <w:ind w:left="426"/>
        <w:contextualSpacing/>
        <w:jc w:val="both"/>
        <w:rPr>
          <w:rFonts w:ascii="Verdana" w:hAnsi="Verdana"/>
          <w:sz w:val="20"/>
          <w:szCs w:val="20"/>
        </w:rPr>
      </w:pPr>
    </w:p>
    <w:p w14:paraId="166CAD80" w14:textId="1CDB6EAD" w:rsidR="00912847" w:rsidRPr="00E665ED" w:rsidRDefault="00912847" w:rsidP="00E665ED">
      <w:pPr>
        <w:pStyle w:val="Prrafodelista"/>
        <w:numPr>
          <w:ilvl w:val="0"/>
          <w:numId w:val="18"/>
        </w:numPr>
        <w:ind w:left="567" w:hanging="567"/>
        <w:jc w:val="both"/>
        <w:rPr>
          <w:rFonts w:ascii="Verdana" w:hAnsi="Verdana"/>
          <w:sz w:val="20"/>
          <w:szCs w:val="20"/>
        </w:rPr>
      </w:pPr>
      <w:r w:rsidRPr="00E665ED">
        <w:rPr>
          <w:rFonts w:ascii="Verdana" w:hAnsi="Verdana"/>
          <w:sz w:val="20"/>
          <w:szCs w:val="20"/>
        </w:rPr>
        <w:t xml:space="preserve">Se calcula el promedio de la serie construida anteriormente. </w:t>
      </w:r>
    </w:p>
    <w:p w14:paraId="6248C41D" w14:textId="5FD54683" w:rsidR="00912847" w:rsidRPr="00E665ED" w:rsidRDefault="00E665ED" w:rsidP="00912847">
      <w:pPr>
        <w:ind w:left="426"/>
        <w:contextualSpacing/>
        <w:jc w:val="center"/>
        <w:rPr>
          <w:rFonts w:ascii="Verdana" w:hAnsi="Verdana"/>
          <w:bCs/>
          <w:i/>
          <w:iCs/>
          <w:sz w:val="20"/>
          <w:szCs w:val="20"/>
        </w:rPr>
      </w:pPr>
      <m:oMathPara>
        <m:oMath>
          <m:r>
            <w:rPr>
              <w:rFonts w:ascii="Cambria Math" w:hAnsi="Cambria Math"/>
              <w:sz w:val="20"/>
              <w:szCs w:val="20"/>
            </w:rPr>
            <m:t>E(</m:t>
          </m:r>
          <m:sSub>
            <m:sSubPr>
              <m:ctrlPr>
                <w:rPr>
                  <w:rFonts w:ascii="Cambria Math" w:hAnsi="Cambria Math"/>
                  <w:bCs/>
                  <w:i/>
                  <w:iCs/>
                  <w:sz w:val="20"/>
                  <w:szCs w:val="20"/>
                </w:rPr>
              </m:ctrlPr>
            </m:sSubPr>
            <m:e>
              <m:r>
                <w:rPr>
                  <w:rFonts w:ascii="Cambria Math" w:hAnsi="Cambria Math"/>
                  <w:sz w:val="20"/>
                  <w:szCs w:val="20"/>
                </w:rPr>
                <m:t>P</m:t>
              </m:r>
            </m:e>
            <m:sub>
              <m:sSub>
                <m:sSubPr>
                  <m:ctrlPr>
                    <w:rPr>
                      <w:rFonts w:ascii="Cambria Math" w:hAnsi="Cambria Math"/>
                      <w:bCs/>
                      <w:i/>
                      <w:iCs/>
                      <w:sz w:val="20"/>
                      <w:szCs w:val="20"/>
                    </w:rPr>
                  </m:ctrlPr>
                </m:sSubPr>
                <m:e>
                  <m:r>
                    <w:rPr>
                      <w:rFonts w:ascii="Cambria Math" w:hAnsi="Cambria Math"/>
                      <w:sz w:val="20"/>
                      <w:szCs w:val="20"/>
                    </w:rPr>
                    <m:t>99</m:t>
                  </m:r>
                </m:e>
                <m:sub>
                  <m:r>
                    <w:rPr>
                      <w:rFonts w:ascii="Cambria Math" w:hAnsi="Cambria Math"/>
                      <w:sz w:val="20"/>
                      <w:szCs w:val="20"/>
                    </w:rPr>
                    <m:t>i</m:t>
                  </m:r>
                </m:sub>
              </m:sSub>
            </m:sub>
          </m:sSub>
          <m:r>
            <w:rPr>
              <w:rFonts w:ascii="Cambria Math" w:hAnsi="Cambria Math"/>
              <w:sz w:val="20"/>
              <w:szCs w:val="20"/>
            </w:rPr>
            <m:t>)=</m:t>
          </m:r>
          <m:f>
            <m:fPr>
              <m:ctrlPr>
                <w:rPr>
                  <w:rFonts w:ascii="Cambria Math" w:hAnsi="Cambria Math"/>
                  <w:bCs/>
                  <w:i/>
                  <w:iCs/>
                  <w:sz w:val="20"/>
                  <w:szCs w:val="20"/>
                </w:rPr>
              </m:ctrlPr>
            </m:fPr>
            <m:num>
              <m:nary>
                <m:naryPr>
                  <m:chr m:val="∑"/>
                  <m:limLoc m:val="undOvr"/>
                  <m:ctrlPr>
                    <w:rPr>
                      <w:rFonts w:ascii="Cambria Math" w:hAnsi="Cambria Math"/>
                      <w:bCs/>
                      <w:i/>
                      <w:iCs/>
                      <w:sz w:val="20"/>
                      <w:szCs w:val="20"/>
                    </w:rPr>
                  </m:ctrlPr>
                </m:naryPr>
                <m:sub>
                  <m:r>
                    <w:rPr>
                      <w:rFonts w:ascii="Cambria Math" w:hAnsi="Cambria Math"/>
                      <w:sz w:val="20"/>
                      <w:szCs w:val="20"/>
                    </w:rPr>
                    <m:t>t=24</m:t>
                  </m:r>
                </m:sub>
                <m:sup>
                  <m:r>
                    <w:rPr>
                      <w:rFonts w:ascii="Cambria Math" w:hAnsi="Cambria Math"/>
                      <w:sz w:val="20"/>
                      <w:szCs w:val="20"/>
                    </w:rPr>
                    <m:t>T</m:t>
                  </m:r>
                </m:sup>
                <m:e>
                  <m:sSub>
                    <m:sSubPr>
                      <m:ctrlPr>
                        <w:rPr>
                          <w:rFonts w:ascii="Cambria Math" w:hAnsi="Cambria Math"/>
                          <w:bCs/>
                          <w:i/>
                          <w:iCs/>
                          <w:sz w:val="20"/>
                          <w:szCs w:val="20"/>
                        </w:rPr>
                      </m:ctrlPr>
                    </m:sSubPr>
                    <m:e>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99</m:t>
                          </m:r>
                        </m:sub>
                      </m:sSub>
                    </m:e>
                    <m:sub>
                      <m:sSub>
                        <m:sSubPr>
                          <m:ctrlPr>
                            <w:rPr>
                              <w:rFonts w:ascii="Cambria Math" w:hAnsi="Cambria Math"/>
                              <w:bCs/>
                              <w:i/>
                              <w:iCs/>
                              <w:sz w:val="20"/>
                              <w:szCs w:val="20"/>
                            </w:rPr>
                          </m:ctrlPr>
                        </m:sSubPr>
                        <m:e>
                          <m:r>
                            <w:rPr>
                              <w:rFonts w:ascii="Cambria Math" w:hAnsi="Cambria Math"/>
                              <w:sz w:val="20"/>
                              <w:szCs w:val="20"/>
                            </w:rPr>
                            <m:t>i</m:t>
                          </m:r>
                        </m:e>
                        <m:sub>
                          <m:r>
                            <w:rPr>
                              <w:rFonts w:ascii="Cambria Math" w:hAnsi="Cambria Math"/>
                              <w:sz w:val="20"/>
                              <w:szCs w:val="20"/>
                            </w:rPr>
                            <m:t>t</m:t>
                          </m:r>
                        </m:sub>
                      </m:sSub>
                    </m:sub>
                  </m:sSub>
                </m:e>
              </m:nary>
            </m:num>
            <m:den>
              <m:r>
                <w:rPr>
                  <w:rFonts w:ascii="Cambria Math" w:hAnsi="Cambria Math"/>
                  <w:sz w:val="20"/>
                  <w:szCs w:val="20"/>
                </w:rPr>
                <m:t>T-23</m:t>
              </m:r>
            </m:den>
          </m:f>
        </m:oMath>
      </m:oMathPara>
    </w:p>
    <w:p w14:paraId="230E63D3" w14:textId="77777777" w:rsidR="00912847" w:rsidRPr="00E665ED" w:rsidRDefault="00912847" w:rsidP="00E665ED">
      <w:pPr>
        <w:ind w:left="567"/>
        <w:jc w:val="both"/>
        <w:rPr>
          <w:rFonts w:ascii="Verdana" w:hAnsi="Verdana"/>
          <w:bCs/>
          <w:sz w:val="20"/>
          <w:szCs w:val="20"/>
        </w:rPr>
      </w:pPr>
      <w:r w:rsidRPr="00E665ED">
        <w:rPr>
          <w:rFonts w:ascii="Verdana" w:hAnsi="Verdana"/>
          <w:bCs/>
          <w:sz w:val="20"/>
          <w:szCs w:val="20"/>
        </w:rPr>
        <w:t>Donde:</w:t>
      </w:r>
    </w:p>
    <w:p w14:paraId="15D62DD2" w14:textId="668CD3A2" w:rsidR="00912847" w:rsidRPr="00E665ED" w:rsidRDefault="00E665ED" w:rsidP="00E665ED">
      <w:pPr>
        <w:ind w:left="567"/>
        <w:jc w:val="both"/>
        <w:rPr>
          <w:rFonts w:ascii="Verdana" w:hAnsi="Verdana"/>
          <w:bCs/>
          <w:sz w:val="20"/>
          <w:szCs w:val="20"/>
        </w:rPr>
      </w:pPr>
      <m:oMath>
        <m:r>
          <m:rPr>
            <m:sty m:val="p"/>
          </m:rPr>
          <w:rPr>
            <w:rFonts w:ascii="Cambria Math" w:hAnsi="Cambria Math"/>
            <w:sz w:val="20"/>
            <w:szCs w:val="20"/>
          </w:rPr>
          <m:t>t = 24, 25, …,</m:t>
        </m:r>
        <m:r>
          <w:rPr>
            <w:rFonts w:ascii="Cambria Math" w:hAnsi="Cambria Math"/>
            <w:sz w:val="20"/>
            <w:szCs w:val="20"/>
          </w:rPr>
          <m:t>T</m:t>
        </m:r>
      </m:oMath>
      <w:r w:rsidR="00912847" w:rsidRPr="00E665ED">
        <w:rPr>
          <w:rFonts w:ascii="Verdana" w:hAnsi="Verdana"/>
          <w:bCs/>
          <w:i/>
          <w:sz w:val="20"/>
          <w:szCs w:val="20"/>
        </w:rPr>
        <w:t>.</w:t>
      </w:r>
    </w:p>
    <w:p w14:paraId="60A0DD5F" w14:textId="03FB0F4F" w:rsidR="00912847" w:rsidRPr="00E665ED" w:rsidRDefault="00B06431" w:rsidP="00E665ED">
      <w:pPr>
        <w:ind w:left="567"/>
        <w:jc w:val="both"/>
        <w:rPr>
          <w:rFonts w:ascii="Verdana" w:hAnsi="Verdana"/>
          <w:bCs/>
          <w:sz w:val="20"/>
          <w:szCs w:val="20"/>
        </w:rPr>
      </w:pPr>
      <m:oMath>
        <m:sSub>
          <m:sSubPr>
            <m:ctrlPr>
              <w:rPr>
                <w:rFonts w:ascii="Cambria Math" w:hAnsi="Cambria Math"/>
                <w:bCs/>
                <w:i/>
                <w:sz w:val="20"/>
                <w:szCs w:val="20"/>
              </w:rPr>
            </m:ctrlPr>
          </m:sSubPr>
          <m:e>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99</m:t>
                </m:r>
              </m:sub>
            </m:sSub>
          </m:e>
          <m:sub>
            <m:sSub>
              <m:sSubPr>
                <m:ctrlPr>
                  <w:rPr>
                    <w:rFonts w:ascii="Cambria Math" w:hAnsi="Cambria Math"/>
                    <w:bCs/>
                    <w:i/>
                    <w:sz w:val="20"/>
                    <w:szCs w:val="20"/>
                  </w:rPr>
                </m:ctrlPr>
              </m:sSubPr>
              <m:e>
                <m:r>
                  <w:rPr>
                    <w:rFonts w:ascii="Cambria Math" w:hAnsi="Cambria Math"/>
                    <w:sz w:val="20"/>
                    <w:szCs w:val="20"/>
                  </w:rPr>
                  <m:t>i</m:t>
                </m:r>
              </m:e>
              <m:sub>
                <m:r>
                  <w:rPr>
                    <w:rFonts w:ascii="Cambria Math" w:hAnsi="Cambria Math"/>
                    <w:sz w:val="20"/>
                    <w:szCs w:val="20"/>
                  </w:rPr>
                  <m:t>t</m:t>
                </m:r>
              </m:sub>
            </m:sSub>
          </m:sub>
        </m:sSub>
      </m:oMath>
      <w:r w:rsidR="00912847" w:rsidRPr="00E665ED">
        <w:rPr>
          <w:rFonts w:ascii="Verdana" w:hAnsi="Verdana"/>
          <w:bCs/>
          <w:i/>
          <w:sz w:val="20"/>
          <w:szCs w:val="20"/>
        </w:rPr>
        <w:t>:</w:t>
      </w:r>
      <w:r w:rsidR="00912847" w:rsidRPr="00E665ED">
        <w:rPr>
          <w:rFonts w:ascii="Verdana" w:hAnsi="Verdana"/>
          <w:bCs/>
          <w:sz w:val="20"/>
          <w:szCs w:val="20"/>
        </w:rPr>
        <w:t xml:space="preserve"> </w:t>
      </w:r>
      <w:r w:rsidR="00E665ED">
        <w:rPr>
          <w:rFonts w:ascii="Verdana" w:hAnsi="Verdana"/>
          <w:bCs/>
          <w:sz w:val="20"/>
          <w:szCs w:val="20"/>
        </w:rPr>
        <w:t xml:space="preserve">es </w:t>
      </w:r>
      <w:r w:rsidR="00912847" w:rsidRPr="00E665ED">
        <w:rPr>
          <w:rFonts w:ascii="Verdana" w:hAnsi="Verdana"/>
          <w:bCs/>
          <w:sz w:val="20"/>
          <w:szCs w:val="20"/>
        </w:rPr>
        <w:t xml:space="preserve">el percentil </w:t>
      </w:r>
      <m:oMath>
        <m:r>
          <m:rPr>
            <m:sty m:val="p"/>
          </m:rPr>
          <w:rPr>
            <w:rFonts w:ascii="Cambria Math" w:hAnsi="Cambria Math"/>
            <w:sz w:val="20"/>
            <w:szCs w:val="20"/>
          </w:rPr>
          <m:t>99</m:t>
        </m:r>
      </m:oMath>
      <w:r w:rsidR="00912847" w:rsidRPr="00E665ED">
        <w:rPr>
          <w:rFonts w:ascii="Verdana" w:hAnsi="Verdana"/>
          <w:bCs/>
          <w:sz w:val="20"/>
          <w:szCs w:val="20"/>
        </w:rPr>
        <w:t xml:space="preserve"> del conjunto de 12 variaciones anuales desde el mes</w:t>
      </w:r>
      <w:r w:rsidR="00912847" w:rsidRPr="00E665ED">
        <w:rPr>
          <w:rFonts w:ascii="Verdana" w:hAnsi="Verdana"/>
          <w:bCs/>
          <w:i/>
          <w:iCs/>
          <w:sz w:val="20"/>
          <w:szCs w:val="20"/>
        </w:rPr>
        <w:t xml:space="preserve"> </w:t>
      </w:r>
      <m:oMath>
        <m:r>
          <w:rPr>
            <w:rFonts w:ascii="Cambria Math" w:hAnsi="Cambria Math"/>
            <w:sz w:val="20"/>
            <w:szCs w:val="20"/>
          </w:rPr>
          <m:t>t</m:t>
        </m:r>
      </m:oMath>
      <w:r w:rsidR="00912847" w:rsidRPr="00E665ED">
        <w:rPr>
          <w:rFonts w:ascii="Verdana" w:hAnsi="Verdana"/>
          <w:bCs/>
          <w:sz w:val="20"/>
          <w:szCs w:val="20"/>
        </w:rPr>
        <w:t xml:space="preserve"> hasta el mes</w:t>
      </w:r>
      <w:r w:rsidR="00912847" w:rsidRPr="00E665ED">
        <w:rPr>
          <w:rFonts w:ascii="Verdana" w:hAnsi="Verdana"/>
          <w:bCs/>
          <w:i/>
          <w:iCs/>
          <w:sz w:val="20"/>
          <w:szCs w:val="20"/>
        </w:rPr>
        <w:t xml:space="preserve"> </w:t>
      </w:r>
      <m:oMath>
        <m:r>
          <w:rPr>
            <w:rFonts w:ascii="Cambria Math" w:hAnsi="Cambria Math"/>
            <w:sz w:val="20"/>
            <w:szCs w:val="20"/>
          </w:rPr>
          <m:t>t-11</m:t>
        </m:r>
      </m:oMath>
      <w:r w:rsidR="00912847" w:rsidRPr="00E665ED">
        <w:rPr>
          <w:rFonts w:ascii="Verdana" w:hAnsi="Verdana"/>
          <w:bCs/>
          <w:sz w:val="20"/>
          <w:szCs w:val="20"/>
        </w:rPr>
        <w:t xml:space="preserve"> de la serie </w:t>
      </w:r>
      <m:oMath>
        <m:sSub>
          <m:sSubPr>
            <m:ctrlPr>
              <w:rPr>
                <w:rFonts w:ascii="Cambria Math" w:hAnsi="Cambria Math"/>
                <w:bCs/>
                <w:i/>
                <w:sz w:val="20"/>
                <w:szCs w:val="20"/>
              </w:rPr>
            </m:ctrlPr>
          </m:sSubPr>
          <m:e>
            <m:r>
              <w:rPr>
                <w:rFonts w:ascii="Cambria Math" w:hAnsi="Cambria Math"/>
                <w:sz w:val="20"/>
                <w:szCs w:val="20"/>
              </w:rPr>
              <m:t>Variación anual</m:t>
            </m:r>
          </m:e>
          <m:sub>
            <m:r>
              <w:rPr>
                <w:rFonts w:ascii="Cambria Math" w:hAnsi="Cambria Math"/>
                <w:sz w:val="20"/>
                <w:szCs w:val="20"/>
              </w:rPr>
              <m:t>i</m:t>
            </m:r>
          </m:sub>
        </m:sSub>
      </m:oMath>
      <w:r w:rsidR="00912847" w:rsidRPr="00E665ED">
        <w:rPr>
          <w:rFonts w:ascii="Verdana" w:hAnsi="Verdana"/>
          <w:bCs/>
          <w:sz w:val="20"/>
          <w:szCs w:val="20"/>
        </w:rPr>
        <w:t>.</w:t>
      </w:r>
    </w:p>
    <w:p w14:paraId="79C0F2CF" w14:textId="2760AE5F" w:rsidR="006C5AFA" w:rsidRPr="00E665ED" w:rsidRDefault="00E665ED" w:rsidP="00F05E5F">
      <w:pPr>
        <w:ind w:left="567"/>
        <w:jc w:val="both"/>
        <w:rPr>
          <w:rFonts w:ascii="Verdana" w:hAnsi="Verdana"/>
          <w:bCs/>
          <w:sz w:val="20"/>
          <w:szCs w:val="20"/>
        </w:rPr>
      </w:pPr>
      <m:oMath>
        <m:r>
          <w:rPr>
            <w:rFonts w:ascii="Cambria Math" w:hAnsi="Cambria Math"/>
            <w:sz w:val="20"/>
            <w:szCs w:val="20"/>
          </w:rPr>
          <m:t>T</m:t>
        </m:r>
      </m:oMath>
      <w:r w:rsidR="00912847" w:rsidRPr="00E665ED">
        <w:rPr>
          <w:rFonts w:ascii="Verdana" w:hAnsi="Verdana"/>
          <w:bCs/>
          <w:sz w:val="20"/>
          <w:szCs w:val="20"/>
        </w:rPr>
        <w:t xml:space="preserve">: </w:t>
      </w:r>
      <w:r>
        <w:rPr>
          <w:rFonts w:ascii="Verdana" w:hAnsi="Verdana"/>
          <w:bCs/>
          <w:sz w:val="20"/>
          <w:szCs w:val="20"/>
        </w:rPr>
        <w:t>es el n</w:t>
      </w:r>
      <w:r w:rsidR="00912847" w:rsidRPr="00E665ED">
        <w:rPr>
          <w:rFonts w:ascii="Verdana" w:hAnsi="Verdana"/>
          <w:bCs/>
          <w:sz w:val="20"/>
          <w:szCs w:val="20"/>
        </w:rPr>
        <w:t xml:space="preserve">úmero de meses para los cuales se tiene información de los respectivos saldos de los depósitos a la vista para la línea de negocio </w:t>
      </w:r>
      <m:oMath>
        <m:r>
          <w:rPr>
            <w:rFonts w:ascii="Cambria Math" w:hAnsi="Cambria Math"/>
            <w:sz w:val="20"/>
            <w:szCs w:val="20"/>
          </w:rPr>
          <m:t>i</m:t>
        </m:r>
      </m:oMath>
      <w:r w:rsidR="00912847" w:rsidRPr="00E665ED">
        <w:rPr>
          <w:rFonts w:ascii="Verdana" w:hAnsi="Verdana"/>
          <w:bCs/>
          <w:sz w:val="20"/>
          <w:szCs w:val="20"/>
        </w:rPr>
        <w:t>.</w:t>
      </w:r>
    </w:p>
    <w:p w14:paraId="6741F708" w14:textId="0B3E233E" w:rsidR="00912847" w:rsidRPr="00F05E5F" w:rsidRDefault="00912847" w:rsidP="00F05E5F">
      <w:pPr>
        <w:pStyle w:val="Prrafodelista"/>
        <w:numPr>
          <w:ilvl w:val="0"/>
          <w:numId w:val="18"/>
        </w:numPr>
        <w:ind w:left="567" w:hanging="567"/>
        <w:jc w:val="both"/>
        <w:rPr>
          <w:rFonts w:ascii="Verdana" w:hAnsi="Verdana"/>
          <w:bCs/>
          <w:sz w:val="20"/>
          <w:szCs w:val="20"/>
        </w:rPr>
      </w:pPr>
      <w:r w:rsidRPr="00F05E5F">
        <w:rPr>
          <w:rFonts w:ascii="Verdana" w:hAnsi="Verdana"/>
          <w:bCs/>
          <w:sz w:val="20"/>
          <w:szCs w:val="20"/>
        </w:rPr>
        <w:t xml:space="preserve">Se calcula el factor para cada línea de negocio </w:t>
      </w:r>
      <m:oMath>
        <m:r>
          <w:rPr>
            <w:rFonts w:ascii="Cambria Math" w:hAnsi="Cambria Math"/>
            <w:sz w:val="20"/>
            <w:szCs w:val="20"/>
          </w:rPr>
          <m:t>i</m:t>
        </m:r>
      </m:oMath>
      <w:r w:rsidRPr="00F05E5F">
        <w:rPr>
          <w:rFonts w:ascii="Verdana" w:hAnsi="Verdana"/>
          <w:bCs/>
          <w:sz w:val="20"/>
          <w:szCs w:val="20"/>
        </w:rPr>
        <w:t xml:space="preserve"> (</w:t>
      </w:r>
      <m:oMath>
        <m:sSub>
          <m:sSubPr>
            <m:ctrlPr>
              <w:rPr>
                <w:rFonts w:ascii="Cambria Math" w:hAnsi="Cambria Math"/>
                <w:bCs/>
                <w:i/>
                <w:sz w:val="20"/>
                <w:szCs w:val="20"/>
              </w:rPr>
            </m:ctrlPr>
          </m:sSubPr>
          <m:e>
            <m:r>
              <w:rPr>
                <w:rFonts w:ascii="Cambria Math" w:hAnsi="Cambria Math"/>
                <w:sz w:val="20"/>
                <w:szCs w:val="20"/>
              </w:rPr>
              <m:t>Factor</m:t>
            </m:r>
          </m:e>
          <m:sub>
            <m:r>
              <w:rPr>
                <w:rFonts w:ascii="Cambria Math" w:hAnsi="Cambria Math"/>
                <w:sz w:val="20"/>
                <w:szCs w:val="20"/>
              </w:rPr>
              <m:t>i</m:t>
            </m:r>
          </m:sub>
        </m:sSub>
      </m:oMath>
      <w:r w:rsidRPr="00F05E5F">
        <w:rPr>
          <w:rFonts w:ascii="Verdana" w:hAnsi="Verdana"/>
          <w:bCs/>
          <w:sz w:val="20"/>
          <w:szCs w:val="20"/>
        </w:rPr>
        <w:t>) de la siguiente manera:</w:t>
      </w:r>
    </w:p>
    <w:p w14:paraId="68AEDF58" w14:textId="3A409681" w:rsidR="00912847" w:rsidRPr="00E665ED" w:rsidRDefault="00B06431" w:rsidP="00912847">
      <w:pPr>
        <w:ind w:left="426"/>
        <w:jc w:val="center"/>
        <w:rPr>
          <w:rFonts w:ascii="Verdana" w:hAnsi="Verdana"/>
          <w:bCs/>
          <w:i/>
          <w:sz w:val="20"/>
          <w:szCs w:val="20"/>
        </w:rPr>
      </w:pPr>
      <m:oMathPara>
        <m:oMath>
          <m:sSub>
            <m:sSubPr>
              <m:ctrlPr>
                <w:rPr>
                  <w:rFonts w:ascii="Cambria Math" w:hAnsi="Cambria Math"/>
                  <w:bCs/>
                  <w:i/>
                  <w:sz w:val="20"/>
                  <w:szCs w:val="20"/>
                </w:rPr>
              </m:ctrlPr>
            </m:sSubPr>
            <m:e>
              <m:r>
                <w:rPr>
                  <w:rFonts w:ascii="Cambria Math" w:hAnsi="Cambria Math"/>
                  <w:sz w:val="20"/>
                  <w:szCs w:val="20"/>
                </w:rPr>
                <m:t>Factor</m:t>
              </m:r>
            </m:e>
            <m:sub>
              <m:r>
                <w:rPr>
                  <w:rFonts w:ascii="Cambria Math" w:hAnsi="Cambria Math"/>
                  <w:sz w:val="20"/>
                  <w:szCs w:val="20"/>
                </w:rPr>
                <m:t>i</m:t>
              </m:r>
            </m:sub>
          </m:sSub>
          <m:r>
            <w:rPr>
              <w:rFonts w:ascii="Cambria Math" w:hAnsi="Cambria Math"/>
              <w:sz w:val="20"/>
              <w:szCs w:val="20"/>
            </w:rPr>
            <m:t>=(</m:t>
          </m:r>
          <m:func>
            <m:funcPr>
              <m:ctrlPr>
                <w:rPr>
                  <w:rFonts w:ascii="Cambria Math" w:hAnsi="Cambria Math"/>
                  <w:bCs/>
                  <w:i/>
                  <w:sz w:val="20"/>
                  <w:szCs w:val="20"/>
                </w:rPr>
              </m:ctrlPr>
            </m:funcPr>
            <m:fName>
              <m:r>
                <w:rPr>
                  <w:rFonts w:ascii="Cambria Math" w:hAnsi="Cambria Math"/>
                  <w:sz w:val="20"/>
                  <w:szCs w:val="20"/>
                </w:rPr>
                <m:t>exp</m:t>
              </m:r>
            </m:fName>
            <m:e>
              <m:d>
                <m:dPr>
                  <m:ctrlPr>
                    <w:rPr>
                      <w:rFonts w:ascii="Cambria Math" w:hAnsi="Cambria Math"/>
                      <w:bCs/>
                      <w:i/>
                      <w:sz w:val="20"/>
                      <w:szCs w:val="20"/>
                    </w:rPr>
                  </m:ctrlPr>
                </m:dPr>
                <m:e>
                  <m:r>
                    <w:rPr>
                      <w:rFonts w:ascii="Cambria Math" w:hAnsi="Cambria Math"/>
                      <w:sz w:val="20"/>
                      <w:szCs w:val="20"/>
                    </w:rPr>
                    <m:t>-E</m:t>
                  </m:r>
                  <m:d>
                    <m:dPr>
                      <m:ctrlPr>
                        <w:rPr>
                          <w:rFonts w:ascii="Cambria Math" w:hAnsi="Cambria Math"/>
                          <w:bCs/>
                          <w:i/>
                          <w:sz w:val="20"/>
                          <w:szCs w:val="20"/>
                        </w:rPr>
                      </m:ctrlPr>
                    </m:dPr>
                    <m:e>
                      <m:sSub>
                        <m:sSubPr>
                          <m:ctrlPr>
                            <w:rPr>
                              <w:rFonts w:ascii="Cambria Math" w:hAnsi="Cambria Math"/>
                              <w:bCs/>
                              <w:i/>
                              <w:sz w:val="20"/>
                              <w:szCs w:val="20"/>
                            </w:rPr>
                          </m:ctrlPr>
                        </m:sSubPr>
                        <m:e>
                          <m:r>
                            <w:rPr>
                              <w:rFonts w:ascii="Cambria Math" w:hAnsi="Cambria Math"/>
                              <w:sz w:val="20"/>
                              <w:szCs w:val="20"/>
                            </w:rPr>
                            <m:t>P</m:t>
                          </m:r>
                        </m:e>
                        <m:sub>
                          <m:sSub>
                            <m:sSubPr>
                              <m:ctrlPr>
                                <w:rPr>
                                  <w:rFonts w:ascii="Cambria Math" w:hAnsi="Cambria Math"/>
                                  <w:bCs/>
                                  <w:i/>
                                  <w:sz w:val="20"/>
                                  <w:szCs w:val="20"/>
                                </w:rPr>
                              </m:ctrlPr>
                            </m:sSubPr>
                            <m:e>
                              <m:r>
                                <w:rPr>
                                  <w:rFonts w:ascii="Cambria Math" w:hAnsi="Cambria Math"/>
                                  <w:sz w:val="20"/>
                                  <w:szCs w:val="20"/>
                                </w:rPr>
                                <m:t>99</m:t>
                              </m:r>
                            </m:e>
                            <m:sub>
                              <m:r>
                                <w:rPr>
                                  <w:rFonts w:ascii="Cambria Math" w:hAnsi="Cambria Math"/>
                                  <w:sz w:val="20"/>
                                  <w:szCs w:val="20"/>
                                </w:rPr>
                                <m:t>i</m:t>
                              </m:r>
                            </m:sub>
                          </m:sSub>
                        </m:sub>
                      </m:sSub>
                    </m:e>
                  </m:d>
                </m:e>
              </m:d>
            </m:e>
          </m:func>
        </m:oMath>
      </m:oMathPara>
    </w:p>
    <w:p w14:paraId="0E318A02" w14:textId="36262ECF" w:rsidR="00753A52" w:rsidRPr="00753A52" w:rsidRDefault="00753A52" w:rsidP="00753A52">
      <w:pPr>
        <w:pStyle w:val="Prrafodelista"/>
        <w:numPr>
          <w:ilvl w:val="0"/>
          <w:numId w:val="17"/>
        </w:numPr>
        <w:spacing w:after="0"/>
        <w:ind w:left="851" w:hanging="284"/>
        <w:rPr>
          <w:rFonts w:ascii="Verdana" w:hAnsi="Verdana"/>
          <w:b/>
          <w:bCs/>
          <w:sz w:val="20"/>
          <w:szCs w:val="20"/>
        </w:rPr>
      </w:pPr>
      <w:r w:rsidRPr="00753A52">
        <w:rPr>
          <w:rFonts w:ascii="Verdana" w:hAnsi="Verdana"/>
          <w:b/>
          <w:bCs/>
          <w:sz w:val="20"/>
          <w:szCs w:val="20"/>
        </w:rPr>
        <w:t>Factor estimado</w:t>
      </w:r>
    </w:p>
    <w:p w14:paraId="129319C7" w14:textId="77777777" w:rsidR="00866070" w:rsidRDefault="00866070" w:rsidP="00EA3B17">
      <w:pPr>
        <w:spacing w:after="0"/>
        <w:rPr>
          <w:rFonts w:ascii="Verdana" w:hAnsi="Verdana"/>
          <w:sz w:val="20"/>
          <w:szCs w:val="20"/>
        </w:rPr>
      </w:pPr>
    </w:p>
    <w:p w14:paraId="179240F9" w14:textId="15C7F22F" w:rsidR="00EA3B17" w:rsidRPr="00964B84" w:rsidRDefault="00EA3B17" w:rsidP="00EA3B17">
      <w:pPr>
        <w:spacing w:after="0"/>
        <w:rPr>
          <w:rFonts w:ascii="Verdana" w:hAnsi="Verdana"/>
          <w:sz w:val="20"/>
          <w:szCs w:val="20"/>
        </w:rPr>
      </w:pPr>
      <w:r w:rsidRPr="688A6030">
        <w:rPr>
          <w:rFonts w:ascii="Verdana" w:hAnsi="Verdana"/>
          <w:sz w:val="20"/>
          <w:szCs w:val="20"/>
        </w:rPr>
        <w:t>1.1.A12.</w:t>
      </w:r>
      <w:r w:rsidR="7DC44F55" w:rsidRPr="688A6030">
        <w:rPr>
          <w:rFonts w:ascii="Verdana" w:hAnsi="Verdana"/>
          <w:sz w:val="20"/>
          <w:szCs w:val="20"/>
        </w:rPr>
        <w:t>2</w:t>
      </w:r>
      <w:r w:rsidR="00702C14">
        <w:rPr>
          <w:rFonts w:ascii="Verdana" w:hAnsi="Verdana"/>
          <w:sz w:val="20"/>
          <w:szCs w:val="20"/>
        </w:rPr>
        <w:t>6</w:t>
      </w:r>
      <w:r w:rsidRPr="688A6030">
        <w:rPr>
          <w:rFonts w:ascii="Verdana" w:hAnsi="Verdana"/>
          <w:sz w:val="20"/>
          <w:szCs w:val="20"/>
        </w:rPr>
        <w:t>.</w:t>
      </w:r>
    </w:p>
    <w:p w14:paraId="12F80A35" w14:textId="6BF83EA1" w:rsidR="00912847" w:rsidRDefault="00912847" w:rsidP="00866070">
      <w:pPr>
        <w:spacing w:after="0" w:line="240" w:lineRule="auto"/>
        <w:jc w:val="both"/>
        <w:rPr>
          <w:rFonts w:ascii="Verdana" w:hAnsi="Verdana"/>
          <w:sz w:val="20"/>
          <w:szCs w:val="20"/>
        </w:rPr>
      </w:pPr>
      <w:r w:rsidRPr="00EA3B17">
        <w:rPr>
          <w:rFonts w:ascii="Verdana" w:hAnsi="Verdana"/>
          <w:sz w:val="20"/>
          <w:szCs w:val="20"/>
        </w:rPr>
        <w:t xml:space="preserve">El factor estimado para la línea de negocio </w:t>
      </w:r>
      <m:oMath>
        <m:r>
          <m:rPr>
            <m:sty m:val="bi"/>
          </m:rPr>
          <w:rPr>
            <w:rFonts w:ascii="Cambria Math" w:hAnsi="Cambria Math"/>
            <w:sz w:val="20"/>
            <w:szCs w:val="20"/>
          </w:rPr>
          <m:t>i</m:t>
        </m:r>
      </m:oMath>
      <w:r w:rsidRPr="00EA3B17">
        <w:rPr>
          <w:rFonts w:ascii="Verdana" w:hAnsi="Verdana"/>
          <w:sz w:val="20"/>
          <w:szCs w:val="20"/>
        </w:rPr>
        <w:t xml:space="preserve"> será el definido de acuerdo con la siguiente función:</w:t>
      </w:r>
    </w:p>
    <w:p w14:paraId="6C9E9DDA" w14:textId="77777777" w:rsidR="00973F26" w:rsidRPr="00912847" w:rsidRDefault="00973F26" w:rsidP="00866070">
      <w:pPr>
        <w:spacing w:after="0" w:line="240" w:lineRule="auto"/>
        <w:jc w:val="both"/>
        <w:rPr>
          <w:rFonts w:ascii="Verdana" w:hAnsi="Verdana"/>
          <w:sz w:val="20"/>
          <w:szCs w:val="20"/>
        </w:rPr>
      </w:pPr>
    </w:p>
    <w:p w14:paraId="53F32A8D" w14:textId="2A2942DF" w:rsidR="00912847" w:rsidRPr="00973F26" w:rsidRDefault="00B06431" w:rsidP="00973F26">
      <w:pPr>
        <w:pStyle w:val="Prrafodelista"/>
        <w:jc w:val="center"/>
        <w:rPr>
          <w:rFonts w:ascii="Verdana" w:eastAsiaTheme="minorEastAsia" w:hAnsi="Verdana"/>
          <w:sz w:val="20"/>
          <w:szCs w:val="20"/>
        </w:rPr>
      </w:pPr>
      <m:oMathPara>
        <m:oMath>
          <m:sSub>
            <m:sSubPr>
              <m:ctrlPr>
                <w:rPr>
                  <w:rFonts w:ascii="Cambria Math" w:hAnsi="Cambria Math"/>
                  <w:sz w:val="20"/>
                  <w:szCs w:val="20"/>
                </w:rPr>
              </m:ctrlPr>
            </m:sSubPr>
            <m:e>
              <m:r>
                <w:rPr>
                  <w:rFonts w:ascii="Cambria Math" w:hAnsi="Cambria Math"/>
                  <w:sz w:val="20"/>
                  <w:szCs w:val="20"/>
                </w:rPr>
                <m:t>Factor</m:t>
              </m:r>
              <m:r>
                <m:rPr>
                  <m:sty m:val="p"/>
                </m:rPr>
                <w:rPr>
                  <w:rFonts w:ascii="Cambria Math" w:hAnsi="Cambria Math"/>
                  <w:sz w:val="20"/>
                  <w:szCs w:val="20"/>
                </w:rPr>
                <m:t xml:space="preserve"> </m:t>
              </m:r>
              <m:r>
                <w:rPr>
                  <w:rFonts w:ascii="Cambria Math" w:hAnsi="Cambria Math"/>
                  <w:sz w:val="20"/>
                  <w:szCs w:val="20"/>
                </w:rPr>
                <m:t>estimado</m:t>
              </m:r>
            </m:e>
            <m:sub>
              <m: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3"/>
                        <m:mcJc m:val="center"/>
                      </m:mcPr>
                    </m:mc>
                  </m:mcs>
                  <m:ctrlPr>
                    <w:rPr>
                      <w:rFonts w:ascii="Cambria Math" w:hAnsi="Cambria Math"/>
                      <w:i/>
                      <w:sz w:val="20"/>
                      <w:szCs w:val="20"/>
                    </w:rPr>
                  </m:ctrlPr>
                </m:mPr>
                <m:mr>
                  <m:e>
                    <m:r>
                      <m:rPr>
                        <m:sty m:val="p"/>
                      </m:rPr>
                      <w:rPr>
                        <w:rFonts w:ascii="Cambria Math" w:hAnsi="Cambria Math"/>
                        <w:sz w:val="20"/>
                        <w:szCs w:val="20"/>
                      </w:rPr>
                      <m:t>25%</m:t>
                    </m:r>
                  </m:e>
                  <m:e>
                    <m:r>
                      <w:rPr>
                        <w:rFonts w:ascii="Cambria Math" w:hAnsi="Cambria Math"/>
                        <w:sz w:val="20"/>
                        <w:szCs w:val="20"/>
                      </w:rPr>
                      <m:t>si</m:t>
                    </m:r>
                  </m:e>
                  <m:e>
                    <m:sSub>
                      <m:sSubPr>
                        <m:ctrlPr>
                          <w:rPr>
                            <w:rFonts w:ascii="Cambria Math" w:hAnsi="Cambria Math"/>
                            <w:sz w:val="20"/>
                            <w:szCs w:val="20"/>
                          </w:rPr>
                        </m:ctrlPr>
                      </m:sSubPr>
                      <m:e>
                        <m:r>
                          <w:rPr>
                            <w:rFonts w:ascii="Cambria Math" w:hAnsi="Cambria Math"/>
                            <w:sz w:val="20"/>
                            <w:szCs w:val="20"/>
                          </w:rPr>
                          <m:t>Factor</m:t>
                        </m:r>
                      </m:e>
                      <m:sub>
                        <m:r>
                          <w:rPr>
                            <w:rFonts w:ascii="Cambria Math" w:hAnsi="Cambria Math"/>
                            <w:sz w:val="20"/>
                            <w:szCs w:val="20"/>
                          </w:rPr>
                          <m:t>i</m:t>
                        </m:r>
                      </m:sub>
                    </m:sSub>
                    <m:r>
                      <m:rPr>
                        <m:sty m:val="p"/>
                      </m:rPr>
                      <w:rPr>
                        <w:rFonts w:ascii="Cambria Math" w:hAnsi="Cambria Math"/>
                        <w:sz w:val="20"/>
                        <w:szCs w:val="20"/>
                      </w:rPr>
                      <m:t xml:space="preserve"> ≤37,5%</m:t>
                    </m:r>
                  </m:e>
                </m:mr>
                <m:mr>
                  <m:e>
                    <m:r>
                      <w:rPr>
                        <w:rFonts w:ascii="Cambria Math" w:hAnsi="Cambria Math"/>
                        <w:sz w:val="20"/>
                        <w:szCs w:val="20"/>
                      </w:rPr>
                      <m:t>50%</m:t>
                    </m:r>
                  </m:e>
                  <m:e>
                    <m:r>
                      <w:rPr>
                        <w:rFonts w:ascii="Cambria Math" w:hAnsi="Cambria Math"/>
                        <w:sz w:val="20"/>
                        <w:szCs w:val="20"/>
                      </w:rPr>
                      <m:t>si</m:t>
                    </m:r>
                  </m:e>
                  <m:e>
                    <m:sSub>
                      <m:sSubPr>
                        <m:ctrlPr>
                          <w:rPr>
                            <w:rFonts w:ascii="Cambria Math" w:hAnsi="Cambria Math"/>
                            <w:sz w:val="20"/>
                            <w:szCs w:val="20"/>
                          </w:rPr>
                        </m:ctrlPr>
                      </m:sSubPr>
                      <m:e>
                        <m:r>
                          <m:rPr>
                            <m:sty m:val="p"/>
                          </m:rPr>
                          <w:rPr>
                            <w:rFonts w:ascii="Cambria Math" w:hAnsi="Cambria Math"/>
                            <w:sz w:val="20"/>
                            <w:szCs w:val="20"/>
                          </w:rPr>
                          <m:t>37,5%&lt;</m:t>
                        </m:r>
                        <m:r>
                          <w:rPr>
                            <w:rFonts w:ascii="Cambria Math" w:hAnsi="Cambria Math"/>
                            <w:sz w:val="20"/>
                            <w:szCs w:val="20"/>
                          </w:rPr>
                          <m:t>Factor</m:t>
                        </m:r>
                      </m:e>
                      <m:sub>
                        <m:r>
                          <w:rPr>
                            <w:rFonts w:ascii="Cambria Math" w:hAnsi="Cambria Math"/>
                            <w:sz w:val="20"/>
                            <w:szCs w:val="20"/>
                          </w:rPr>
                          <m:t>i</m:t>
                        </m:r>
                      </m:sub>
                    </m:sSub>
                    <m:r>
                      <m:rPr>
                        <m:sty m:val="p"/>
                      </m:rPr>
                      <w:rPr>
                        <w:rFonts w:ascii="Cambria Math" w:hAnsi="Cambria Math"/>
                        <w:sz w:val="20"/>
                        <w:szCs w:val="20"/>
                      </w:rPr>
                      <m:t>≤70%</m:t>
                    </m:r>
                  </m:e>
                </m:mr>
                <m:mr>
                  <m:e>
                    <m:r>
                      <w:rPr>
                        <w:rFonts w:ascii="Cambria Math" w:hAnsi="Cambria Math"/>
                        <w:sz w:val="20"/>
                        <w:szCs w:val="20"/>
                      </w:rPr>
                      <m:t>90%</m:t>
                    </m:r>
                  </m:e>
                  <m:e>
                    <m:r>
                      <w:rPr>
                        <w:rFonts w:ascii="Cambria Math" w:hAnsi="Cambria Math"/>
                        <w:sz w:val="20"/>
                        <w:szCs w:val="20"/>
                      </w:rPr>
                      <m:t>si</m:t>
                    </m:r>
                  </m:e>
                  <m:e>
                    <m:sSub>
                      <m:sSubPr>
                        <m:ctrlPr>
                          <w:rPr>
                            <w:rFonts w:ascii="Cambria Math" w:hAnsi="Cambria Math"/>
                            <w:sz w:val="20"/>
                            <w:szCs w:val="20"/>
                          </w:rPr>
                        </m:ctrlPr>
                      </m:sSubPr>
                      <m:e>
                        <m:r>
                          <m:rPr>
                            <m:sty m:val="p"/>
                          </m:rPr>
                          <w:rPr>
                            <w:rFonts w:ascii="Cambria Math" w:hAnsi="Cambria Math"/>
                            <w:sz w:val="20"/>
                            <w:szCs w:val="20"/>
                          </w:rPr>
                          <m:t>70%&lt;</m:t>
                        </m:r>
                        <m:r>
                          <w:rPr>
                            <w:rFonts w:ascii="Cambria Math" w:hAnsi="Cambria Math"/>
                            <w:sz w:val="20"/>
                            <w:szCs w:val="20"/>
                          </w:rPr>
                          <m:t>Factor</m:t>
                        </m:r>
                      </m:e>
                      <m:sub>
                        <m:r>
                          <w:rPr>
                            <w:rFonts w:ascii="Cambria Math" w:hAnsi="Cambria Math"/>
                            <w:sz w:val="20"/>
                            <w:szCs w:val="20"/>
                          </w:rPr>
                          <m:t>i</m:t>
                        </m:r>
                      </m:sub>
                    </m:sSub>
                    <m:r>
                      <m:rPr>
                        <m:sty m:val="p"/>
                      </m:rPr>
                      <w:rPr>
                        <w:rFonts w:ascii="Cambria Math" w:hAnsi="Cambria Math"/>
                        <w:sz w:val="20"/>
                        <w:szCs w:val="20"/>
                      </w:rPr>
                      <m:t>≤100%</m:t>
                    </m:r>
                  </m:e>
                </m:mr>
              </m:m>
            </m:e>
          </m:d>
        </m:oMath>
      </m:oMathPara>
    </w:p>
    <w:p w14:paraId="652D1FCA" w14:textId="77777777" w:rsidR="00973F26" w:rsidRPr="00973F26" w:rsidRDefault="00973F26" w:rsidP="00973F26">
      <w:pPr>
        <w:pStyle w:val="Prrafodelista"/>
        <w:jc w:val="center"/>
        <w:rPr>
          <w:rFonts w:ascii="Verdana" w:eastAsiaTheme="minorEastAsia" w:hAnsi="Verdana"/>
          <w:sz w:val="20"/>
          <w:szCs w:val="20"/>
        </w:rPr>
      </w:pPr>
    </w:p>
    <w:p w14:paraId="32B447DA" w14:textId="26D99DEE" w:rsidR="00912847" w:rsidRPr="00866070" w:rsidRDefault="00912847" w:rsidP="00866070">
      <w:pPr>
        <w:pStyle w:val="Prrafodelista"/>
        <w:numPr>
          <w:ilvl w:val="0"/>
          <w:numId w:val="16"/>
        </w:numPr>
        <w:ind w:left="567" w:hanging="283"/>
        <w:jc w:val="both"/>
        <w:rPr>
          <w:rFonts w:ascii="Verdana" w:hAnsi="Verdana"/>
          <w:b/>
          <w:bCs/>
          <w:sz w:val="20"/>
          <w:szCs w:val="20"/>
        </w:rPr>
      </w:pPr>
      <w:r w:rsidRPr="00866070">
        <w:rPr>
          <w:rFonts w:ascii="Verdana" w:hAnsi="Verdana"/>
          <w:b/>
          <w:bCs/>
          <w:sz w:val="20"/>
          <w:szCs w:val="20"/>
        </w:rPr>
        <w:t>Tabla de factores de referencia SFC</w:t>
      </w:r>
    </w:p>
    <w:p w14:paraId="1AE6C4C4" w14:textId="26FAA5F2" w:rsidR="0004084D" w:rsidRPr="00964B84" w:rsidRDefault="0004084D" w:rsidP="0004084D">
      <w:pPr>
        <w:spacing w:after="0"/>
        <w:rPr>
          <w:rFonts w:ascii="Verdana" w:hAnsi="Verdana"/>
          <w:sz w:val="20"/>
          <w:szCs w:val="20"/>
        </w:rPr>
      </w:pPr>
      <w:r w:rsidRPr="688A6030">
        <w:rPr>
          <w:rFonts w:ascii="Verdana" w:hAnsi="Verdana"/>
          <w:sz w:val="20"/>
          <w:szCs w:val="20"/>
        </w:rPr>
        <w:t>1.1.A12.</w:t>
      </w:r>
      <w:r w:rsidR="1536A467" w:rsidRPr="688A6030">
        <w:rPr>
          <w:rFonts w:ascii="Verdana" w:hAnsi="Verdana"/>
          <w:sz w:val="20"/>
          <w:szCs w:val="20"/>
        </w:rPr>
        <w:t>2</w:t>
      </w:r>
      <w:r w:rsidR="00702C14">
        <w:rPr>
          <w:rFonts w:ascii="Verdana" w:hAnsi="Verdana"/>
          <w:sz w:val="20"/>
          <w:szCs w:val="20"/>
        </w:rPr>
        <w:t>7</w:t>
      </w:r>
      <w:r w:rsidRPr="688A6030">
        <w:rPr>
          <w:rFonts w:ascii="Verdana" w:hAnsi="Verdana"/>
          <w:sz w:val="20"/>
          <w:szCs w:val="20"/>
        </w:rPr>
        <w:t>.</w:t>
      </w:r>
    </w:p>
    <w:p w14:paraId="12840A1D" w14:textId="56DC76DA" w:rsidR="00912847" w:rsidRPr="00912847" w:rsidRDefault="00912847" w:rsidP="00912847">
      <w:pPr>
        <w:jc w:val="both"/>
        <w:rPr>
          <w:rFonts w:ascii="Verdana" w:hAnsi="Verdana"/>
          <w:sz w:val="20"/>
          <w:szCs w:val="20"/>
        </w:rPr>
      </w:pPr>
      <w:r w:rsidRPr="00912847">
        <w:rPr>
          <w:rFonts w:ascii="Verdana" w:hAnsi="Verdana"/>
          <w:sz w:val="20"/>
          <w:szCs w:val="20"/>
        </w:rPr>
        <w:t>Los factores de referencia por cada línea de negocio serán los siguientes:</w:t>
      </w:r>
    </w:p>
    <w:tbl>
      <w:tblPr>
        <w:tblW w:w="4815" w:type="dxa"/>
        <w:jc w:val="center"/>
        <w:tblCellMar>
          <w:left w:w="70" w:type="dxa"/>
          <w:right w:w="70" w:type="dxa"/>
        </w:tblCellMar>
        <w:tblLook w:val="04A0" w:firstRow="1" w:lastRow="0" w:firstColumn="1" w:lastColumn="0" w:noHBand="0" w:noVBand="1"/>
      </w:tblPr>
      <w:tblGrid>
        <w:gridCol w:w="2830"/>
        <w:gridCol w:w="1985"/>
      </w:tblGrid>
      <w:tr w:rsidR="00912847" w:rsidRPr="00912847" w14:paraId="46061533" w14:textId="77777777" w:rsidTr="00E7673D">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6E84BDE5" w14:textId="77777777" w:rsidR="00912847" w:rsidRPr="008E70AF" w:rsidRDefault="00912847" w:rsidP="008E70AF">
            <w:pPr>
              <w:spacing w:after="0" w:line="240" w:lineRule="auto"/>
              <w:jc w:val="center"/>
              <w:rPr>
                <w:rFonts w:ascii="Verdana" w:eastAsia="Times New Roman" w:hAnsi="Verdana" w:cs="Arial"/>
                <w:b/>
                <w:bCs/>
                <w:color w:val="000000"/>
                <w:kern w:val="0"/>
                <w:sz w:val="16"/>
                <w:szCs w:val="16"/>
                <w:lang w:eastAsia="es-CO"/>
                <w14:ligatures w14:val="none"/>
              </w:rPr>
            </w:pPr>
            <w:r w:rsidRPr="008E70AF">
              <w:rPr>
                <w:rFonts w:ascii="Verdana" w:eastAsia="Times New Roman" w:hAnsi="Verdana" w:cs="Arial"/>
                <w:b/>
                <w:bCs/>
                <w:color w:val="000000"/>
                <w:kern w:val="0"/>
                <w:sz w:val="16"/>
                <w:szCs w:val="16"/>
                <w:lang w:eastAsia="es-CO"/>
                <w14:ligatures w14:val="none"/>
              </w:rPr>
              <w:t>Línea de negocio</w:t>
            </w:r>
          </w:p>
        </w:tc>
        <w:tc>
          <w:tcPr>
            <w:tcW w:w="1985"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7575DF57" w14:textId="77777777" w:rsidR="00912847" w:rsidRPr="008E70AF" w:rsidRDefault="00912847" w:rsidP="008E70AF">
            <w:pPr>
              <w:spacing w:after="0" w:line="240" w:lineRule="auto"/>
              <w:jc w:val="center"/>
              <w:rPr>
                <w:rFonts w:ascii="Verdana" w:eastAsia="Times New Roman" w:hAnsi="Verdana" w:cs="Arial"/>
                <w:b/>
                <w:bCs/>
                <w:color w:val="000000"/>
                <w:kern w:val="0"/>
                <w:sz w:val="16"/>
                <w:szCs w:val="16"/>
                <w:lang w:eastAsia="es-CO"/>
                <w14:ligatures w14:val="none"/>
              </w:rPr>
            </w:pPr>
            <w:r w:rsidRPr="008E70AF">
              <w:rPr>
                <w:rFonts w:ascii="Verdana" w:eastAsia="Times New Roman" w:hAnsi="Verdana" w:cs="Arial"/>
                <w:b/>
                <w:bCs/>
                <w:color w:val="000000"/>
                <w:kern w:val="0"/>
                <w:sz w:val="16"/>
                <w:szCs w:val="16"/>
                <w:lang w:eastAsia="es-CO"/>
                <w14:ligatures w14:val="none"/>
              </w:rPr>
              <w:t>Factor de referencia</w:t>
            </w:r>
          </w:p>
        </w:tc>
      </w:tr>
      <w:tr w:rsidR="00912847" w:rsidRPr="00912847" w14:paraId="1093B466" w14:textId="77777777" w:rsidTr="00C76540">
        <w:trPr>
          <w:trHeight w:val="356"/>
          <w:jc w:val="center"/>
        </w:trPr>
        <w:tc>
          <w:tcPr>
            <w:tcW w:w="2830" w:type="dxa"/>
            <w:tcBorders>
              <w:top w:val="nil"/>
              <w:left w:val="single" w:sz="4" w:space="0" w:color="auto"/>
              <w:bottom w:val="single" w:sz="4" w:space="0" w:color="auto"/>
              <w:right w:val="single" w:sz="4" w:space="0" w:color="auto"/>
            </w:tcBorders>
            <w:shd w:val="clear" w:color="000000" w:fill="FFFFFF"/>
            <w:noWrap/>
            <w:vAlign w:val="center"/>
            <w:hideMark/>
          </w:tcPr>
          <w:p w14:paraId="72682475" w14:textId="77777777" w:rsidR="00912847" w:rsidRPr="008E70AF" w:rsidRDefault="00912847" w:rsidP="008E70AF">
            <w:pPr>
              <w:spacing w:after="0" w:line="240" w:lineRule="auto"/>
              <w:jc w:val="center"/>
              <w:rPr>
                <w:rFonts w:ascii="Verdana" w:eastAsia="Times New Roman" w:hAnsi="Verdana" w:cs="Arial"/>
                <w:color w:val="000000"/>
                <w:kern w:val="0"/>
                <w:sz w:val="16"/>
                <w:szCs w:val="16"/>
                <w:lang w:eastAsia="es-CO"/>
                <w14:ligatures w14:val="none"/>
              </w:rPr>
            </w:pPr>
            <w:r w:rsidRPr="008E70AF">
              <w:rPr>
                <w:rFonts w:ascii="Verdana" w:eastAsia="Times New Roman" w:hAnsi="Verdana" w:cs="Arial"/>
                <w:color w:val="000000"/>
                <w:kern w:val="0"/>
                <w:sz w:val="16"/>
                <w:szCs w:val="16"/>
                <w:lang w:eastAsia="es-CO"/>
                <w14:ligatures w14:val="none"/>
              </w:rPr>
              <w:t>Fiducia inmobiliaria</w:t>
            </w:r>
          </w:p>
        </w:tc>
        <w:tc>
          <w:tcPr>
            <w:tcW w:w="1985" w:type="dxa"/>
            <w:tcBorders>
              <w:top w:val="nil"/>
              <w:left w:val="nil"/>
              <w:bottom w:val="single" w:sz="4" w:space="0" w:color="auto"/>
              <w:right w:val="single" w:sz="4" w:space="0" w:color="auto"/>
            </w:tcBorders>
            <w:shd w:val="clear" w:color="000000" w:fill="FFFFFF"/>
            <w:noWrap/>
            <w:vAlign w:val="center"/>
            <w:hideMark/>
          </w:tcPr>
          <w:p w14:paraId="204BA207" w14:textId="77777777" w:rsidR="00912847" w:rsidRPr="008E70AF" w:rsidRDefault="00912847" w:rsidP="008E70AF">
            <w:pPr>
              <w:spacing w:after="0" w:line="240" w:lineRule="auto"/>
              <w:jc w:val="center"/>
              <w:rPr>
                <w:rFonts w:ascii="Verdana" w:eastAsia="Times New Roman" w:hAnsi="Verdana" w:cs="Arial"/>
                <w:color w:val="000000"/>
                <w:kern w:val="0"/>
                <w:sz w:val="16"/>
                <w:szCs w:val="16"/>
                <w:lang w:eastAsia="es-CO"/>
                <w14:ligatures w14:val="none"/>
              </w:rPr>
            </w:pPr>
            <w:r w:rsidRPr="008E70AF">
              <w:rPr>
                <w:rFonts w:ascii="Verdana" w:eastAsia="Times New Roman" w:hAnsi="Verdana" w:cs="Arial"/>
                <w:color w:val="000000"/>
                <w:kern w:val="0"/>
                <w:sz w:val="16"/>
                <w:szCs w:val="16"/>
                <w:lang w:eastAsia="es-CO"/>
                <w14:ligatures w14:val="none"/>
              </w:rPr>
              <w:t>50%</w:t>
            </w:r>
          </w:p>
        </w:tc>
      </w:tr>
      <w:tr w:rsidR="00912847" w:rsidRPr="00912847" w14:paraId="30706D13" w14:textId="77777777" w:rsidTr="00C76540">
        <w:trPr>
          <w:trHeight w:val="315"/>
          <w:jc w:val="center"/>
        </w:trPr>
        <w:tc>
          <w:tcPr>
            <w:tcW w:w="2830" w:type="dxa"/>
            <w:tcBorders>
              <w:top w:val="nil"/>
              <w:left w:val="single" w:sz="4" w:space="0" w:color="auto"/>
              <w:bottom w:val="single" w:sz="4" w:space="0" w:color="auto"/>
              <w:right w:val="single" w:sz="4" w:space="0" w:color="auto"/>
            </w:tcBorders>
            <w:shd w:val="clear" w:color="000000" w:fill="FFFFFF"/>
            <w:noWrap/>
            <w:vAlign w:val="center"/>
            <w:hideMark/>
          </w:tcPr>
          <w:p w14:paraId="0D7C55F8" w14:textId="77777777" w:rsidR="00912847" w:rsidRPr="008E70AF" w:rsidRDefault="00912847" w:rsidP="008E70AF">
            <w:pPr>
              <w:spacing w:after="0" w:line="240" w:lineRule="auto"/>
              <w:jc w:val="center"/>
              <w:rPr>
                <w:rFonts w:ascii="Verdana" w:eastAsia="Times New Roman" w:hAnsi="Verdana" w:cs="Arial"/>
                <w:color w:val="000000"/>
                <w:kern w:val="0"/>
                <w:sz w:val="16"/>
                <w:szCs w:val="16"/>
                <w:lang w:eastAsia="es-CO"/>
                <w14:ligatures w14:val="none"/>
              </w:rPr>
            </w:pPr>
            <w:r w:rsidRPr="008E70AF">
              <w:rPr>
                <w:rFonts w:ascii="Verdana" w:eastAsia="Times New Roman" w:hAnsi="Verdana" w:cs="Arial"/>
                <w:color w:val="000000"/>
                <w:kern w:val="0"/>
                <w:sz w:val="16"/>
                <w:szCs w:val="16"/>
                <w:lang w:eastAsia="es-CO"/>
                <w14:ligatures w14:val="none"/>
              </w:rPr>
              <w:t>Fiducia de administración</w:t>
            </w:r>
          </w:p>
        </w:tc>
        <w:tc>
          <w:tcPr>
            <w:tcW w:w="1985" w:type="dxa"/>
            <w:tcBorders>
              <w:top w:val="nil"/>
              <w:left w:val="nil"/>
              <w:bottom w:val="single" w:sz="4" w:space="0" w:color="auto"/>
              <w:right w:val="single" w:sz="4" w:space="0" w:color="auto"/>
            </w:tcBorders>
            <w:shd w:val="clear" w:color="000000" w:fill="FFFFFF"/>
            <w:noWrap/>
            <w:vAlign w:val="center"/>
            <w:hideMark/>
          </w:tcPr>
          <w:p w14:paraId="75FAC54F" w14:textId="77777777" w:rsidR="00912847" w:rsidRPr="008E70AF" w:rsidRDefault="00912847" w:rsidP="008E70AF">
            <w:pPr>
              <w:spacing w:after="0" w:line="240" w:lineRule="auto"/>
              <w:jc w:val="center"/>
              <w:rPr>
                <w:rFonts w:ascii="Verdana" w:eastAsia="Times New Roman" w:hAnsi="Verdana" w:cs="Arial"/>
                <w:color w:val="000000"/>
                <w:kern w:val="0"/>
                <w:sz w:val="16"/>
                <w:szCs w:val="16"/>
                <w:lang w:eastAsia="es-CO"/>
                <w14:ligatures w14:val="none"/>
              </w:rPr>
            </w:pPr>
            <w:r w:rsidRPr="008E70AF">
              <w:rPr>
                <w:rFonts w:ascii="Verdana" w:eastAsia="Times New Roman" w:hAnsi="Verdana" w:cs="Arial"/>
                <w:color w:val="000000"/>
                <w:kern w:val="0"/>
                <w:sz w:val="16"/>
                <w:szCs w:val="16"/>
                <w:lang w:eastAsia="es-CO"/>
                <w14:ligatures w14:val="none"/>
              </w:rPr>
              <w:t>90%</w:t>
            </w:r>
          </w:p>
        </w:tc>
      </w:tr>
      <w:tr w:rsidR="00912847" w:rsidRPr="00912847" w14:paraId="7482591A" w14:textId="77777777" w:rsidTr="00C76540">
        <w:trPr>
          <w:trHeight w:val="315"/>
          <w:jc w:val="center"/>
        </w:trPr>
        <w:tc>
          <w:tcPr>
            <w:tcW w:w="2830" w:type="dxa"/>
            <w:tcBorders>
              <w:top w:val="nil"/>
              <w:left w:val="single" w:sz="4" w:space="0" w:color="auto"/>
              <w:bottom w:val="single" w:sz="4" w:space="0" w:color="auto"/>
              <w:right w:val="single" w:sz="4" w:space="0" w:color="auto"/>
            </w:tcBorders>
            <w:shd w:val="clear" w:color="000000" w:fill="FFFFFF"/>
            <w:noWrap/>
            <w:vAlign w:val="center"/>
            <w:hideMark/>
          </w:tcPr>
          <w:p w14:paraId="641531AA" w14:textId="77777777" w:rsidR="00912847" w:rsidRPr="008E70AF" w:rsidRDefault="00912847" w:rsidP="008E70AF">
            <w:pPr>
              <w:spacing w:after="0" w:line="240" w:lineRule="auto"/>
              <w:jc w:val="center"/>
              <w:rPr>
                <w:rFonts w:ascii="Verdana" w:eastAsia="Times New Roman" w:hAnsi="Verdana" w:cs="Arial"/>
                <w:color w:val="000000"/>
                <w:kern w:val="0"/>
                <w:sz w:val="16"/>
                <w:szCs w:val="16"/>
                <w:lang w:eastAsia="es-CO"/>
                <w14:ligatures w14:val="none"/>
              </w:rPr>
            </w:pPr>
            <w:r w:rsidRPr="008E70AF">
              <w:rPr>
                <w:rFonts w:ascii="Verdana" w:eastAsia="Times New Roman" w:hAnsi="Verdana" w:cs="Arial"/>
                <w:color w:val="000000"/>
                <w:kern w:val="0"/>
                <w:sz w:val="16"/>
                <w:szCs w:val="16"/>
                <w:lang w:eastAsia="es-CO"/>
                <w14:ligatures w14:val="none"/>
              </w:rPr>
              <w:t>Fiducia en garantía</w:t>
            </w:r>
          </w:p>
        </w:tc>
        <w:tc>
          <w:tcPr>
            <w:tcW w:w="1985" w:type="dxa"/>
            <w:tcBorders>
              <w:top w:val="nil"/>
              <w:left w:val="nil"/>
              <w:bottom w:val="single" w:sz="4" w:space="0" w:color="auto"/>
              <w:right w:val="single" w:sz="4" w:space="0" w:color="auto"/>
            </w:tcBorders>
            <w:shd w:val="clear" w:color="000000" w:fill="FFFFFF"/>
            <w:noWrap/>
            <w:vAlign w:val="center"/>
            <w:hideMark/>
          </w:tcPr>
          <w:p w14:paraId="1C1F36B4" w14:textId="77777777" w:rsidR="00912847" w:rsidRPr="008E70AF" w:rsidRDefault="00912847" w:rsidP="008E70AF">
            <w:pPr>
              <w:spacing w:after="0" w:line="240" w:lineRule="auto"/>
              <w:jc w:val="center"/>
              <w:rPr>
                <w:rFonts w:ascii="Verdana" w:eastAsia="Times New Roman" w:hAnsi="Verdana" w:cs="Arial"/>
                <w:color w:val="000000"/>
                <w:kern w:val="0"/>
                <w:sz w:val="16"/>
                <w:szCs w:val="16"/>
                <w:lang w:eastAsia="es-CO"/>
                <w14:ligatures w14:val="none"/>
              </w:rPr>
            </w:pPr>
            <w:r w:rsidRPr="008E70AF">
              <w:rPr>
                <w:rFonts w:ascii="Verdana" w:eastAsia="Times New Roman" w:hAnsi="Verdana" w:cs="Arial"/>
                <w:color w:val="000000"/>
                <w:kern w:val="0"/>
                <w:sz w:val="16"/>
                <w:szCs w:val="16"/>
                <w:lang w:eastAsia="es-CO"/>
                <w14:ligatures w14:val="none"/>
              </w:rPr>
              <w:t>50%</w:t>
            </w:r>
          </w:p>
        </w:tc>
      </w:tr>
    </w:tbl>
    <w:p w14:paraId="5A1E6643" w14:textId="77777777" w:rsidR="00E7673D" w:rsidRDefault="00E7673D" w:rsidP="00E7673D">
      <w:pPr>
        <w:pStyle w:val="Prrafodelista"/>
        <w:ind w:left="284"/>
        <w:jc w:val="both"/>
        <w:rPr>
          <w:rFonts w:ascii="Verdana" w:hAnsi="Verdana"/>
          <w:b/>
          <w:bCs/>
          <w:sz w:val="20"/>
          <w:szCs w:val="20"/>
        </w:rPr>
      </w:pPr>
    </w:p>
    <w:p w14:paraId="0B4BD268" w14:textId="38596FAF" w:rsidR="00912847" w:rsidRPr="00E7673D" w:rsidRDefault="00912847" w:rsidP="00E7673D">
      <w:pPr>
        <w:pStyle w:val="Prrafodelista"/>
        <w:numPr>
          <w:ilvl w:val="0"/>
          <w:numId w:val="15"/>
        </w:numPr>
        <w:ind w:left="284" w:hanging="284"/>
        <w:jc w:val="both"/>
        <w:rPr>
          <w:rFonts w:ascii="Verdana" w:hAnsi="Verdana"/>
          <w:b/>
          <w:bCs/>
          <w:sz w:val="20"/>
          <w:szCs w:val="20"/>
        </w:rPr>
      </w:pPr>
      <w:r w:rsidRPr="00E7673D">
        <w:rPr>
          <w:rFonts w:ascii="Verdana" w:hAnsi="Verdana"/>
          <w:b/>
          <w:bCs/>
          <w:sz w:val="20"/>
          <w:szCs w:val="20"/>
        </w:rPr>
        <w:t>Depósitos operativos</w:t>
      </w:r>
    </w:p>
    <w:p w14:paraId="601E92EE" w14:textId="058A6F35" w:rsidR="00294B10" w:rsidRPr="00964B84" w:rsidRDefault="00294B10" w:rsidP="00294B10">
      <w:pPr>
        <w:spacing w:after="0"/>
        <w:rPr>
          <w:rFonts w:ascii="Verdana" w:hAnsi="Verdana"/>
          <w:sz w:val="20"/>
          <w:szCs w:val="20"/>
        </w:rPr>
      </w:pPr>
      <w:r w:rsidRPr="688A6030">
        <w:rPr>
          <w:rFonts w:ascii="Verdana" w:hAnsi="Verdana"/>
          <w:sz w:val="20"/>
          <w:szCs w:val="20"/>
        </w:rPr>
        <w:t>1.1.A12.</w:t>
      </w:r>
      <w:r w:rsidR="3C1DC3A3" w:rsidRPr="688A6030">
        <w:rPr>
          <w:rFonts w:ascii="Verdana" w:hAnsi="Verdana"/>
          <w:sz w:val="20"/>
          <w:szCs w:val="20"/>
        </w:rPr>
        <w:t>2</w:t>
      </w:r>
      <w:r w:rsidR="00702C14">
        <w:rPr>
          <w:rFonts w:ascii="Verdana" w:hAnsi="Verdana"/>
          <w:sz w:val="20"/>
          <w:szCs w:val="20"/>
        </w:rPr>
        <w:t>8</w:t>
      </w:r>
      <w:r w:rsidRPr="688A6030">
        <w:rPr>
          <w:rFonts w:ascii="Verdana" w:hAnsi="Verdana"/>
          <w:sz w:val="20"/>
          <w:szCs w:val="20"/>
        </w:rPr>
        <w:t>.</w:t>
      </w:r>
    </w:p>
    <w:p w14:paraId="30F2980D" w14:textId="10817A0C" w:rsidR="00912847" w:rsidRDefault="00912847" w:rsidP="008E6AE8">
      <w:pPr>
        <w:jc w:val="both"/>
        <w:rPr>
          <w:rFonts w:ascii="Verdana" w:hAnsi="Verdana"/>
          <w:sz w:val="20"/>
          <w:szCs w:val="20"/>
        </w:rPr>
      </w:pPr>
      <w:r w:rsidRPr="11388FA0">
        <w:rPr>
          <w:rFonts w:ascii="Verdana" w:hAnsi="Verdana"/>
          <w:sz w:val="20"/>
          <w:szCs w:val="20"/>
        </w:rPr>
        <w:t xml:space="preserve">Para efectos de los factores de ponderación aplicables a los </w:t>
      </w:r>
      <w:r w:rsidRPr="008635FA">
        <w:rPr>
          <w:rFonts w:ascii="Verdana" w:hAnsi="Verdana"/>
          <w:sz w:val="20"/>
          <w:szCs w:val="20"/>
        </w:rPr>
        <w:t xml:space="preserve">rubros 6, 11 y 13 de acuerdo con la tabla del </w:t>
      </w:r>
      <w:r w:rsidR="008635FA" w:rsidRPr="008635FA">
        <w:rPr>
          <w:rFonts w:ascii="Verdana" w:hAnsi="Verdana"/>
          <w:sz w:val="20"/>
          <w:szCs w:val="20"/>
        </w:rPr>
        <w:t>párrafo 1.1.A12.13.</w:t>
      </w:r>
      <w:r w:rsidRPr="008635FA">
        <w:rPr>
          <w:rFonts w:ascii="Verdana" w:hAnsi="Verdana"/>
          <w:sz w:val="20"/>
          <w:szCs w:val="20"/>
        </w:rPr>
        <w:t>, las entidades deben realizar un análisis cualitativo y cuantitativo que les permita establecer la proporción de de</w:t>
      </w:r>
      <w:r w:rsidRPr="11388FA0">
        <w:rPr>
          <w:rFonts w:ascii="Verdana" w:hAnsi="Verdana"/>
          <w:sz w:val="20"/>
          <w:szCs w:val="20"/>
        </w:rPr>
        <w:t>pósitos a la vista que pueden calificarse como depósitos operativos.</w:t>
      </w:r>
    </w:p>
    <w:p w14:paraId="520B641D" w14:textId="77777777" w:rsidR="008B5AEC" w:rsidRPr="00294B10" w:rsidRDefault="008B5AEC" w:rsidP="008E6AE8">
      <w:pPr>
        <w:jc w:val="both"/>
        <w:rPr>
          <w:rFonts w:ascii="Verdana" w:hAnsi="Verdana"/>
          <w:sz w:val="20"/>
          <w:szCs w:val="20"/>
        </w:rPr>
      </w:pPr>
    </w:p>
    <w:p w14:paraId="1BBD3AC9" w14:textId="09F04BF7" w:rsidR="005F59F5" w:rsidRPr="00E7673D" w:rsidRDefault="00912847" w:rsidP="00E7673D">
      <w:pPr>
        <w:pStyle w:val="Prrafodelista"/>
        <w:numPr>
          <w:ilvl w:val="0"/>
          <w:numId w:val="16"/>
        </w:numPr>
        <w:ind w:left="567" w:hanging="283"/>
        <w:jc w:val="both"/>
        <w:rPr>
          <w:rFonts w:ascii="Verdana" w:hAnsi="Verdana"/>
          <w:sz w:val="20"/>
          <w:szCs w:val="20"/>
        </w:rPr>
      </w:pPr>
      <w:r w:rsidRPr="00E7673D">
        <w:rPr>
          <w:rFonts w:ascii="Verdana" w:hAnsi="Verdana"/>
          <w:b/>
          <w:bCs/>
          <w:sz w:val="20"/>
          <w:szCs w:val="20"/>
        </w:rPr>
        <w:lastRenderedPageBreak/>
        <w:t>Análisis cualitativo</w:t>
      </w:r>
    </w:p>
    <w:p w14:paraId="6943F15F" w14:textId="5F4BA21F" w:rsidR="00D83B73" w:rsidRPr="00964B84" w:rsidRDefault="00D83B73" w:rsidP="00D83B73">
      <w:pPr>
        <w:spacing w:after="0"/>
        <w:rPr>
          <w:rFonts w:ascii="Verdana" w:hAnsi="Verdana"/>
          <w:sz w:val="20"/>
          <w:szCs w:val="20"/>
        </w:rPr>
      </w:pPr>
      <w:r w:rsidRPr="688A6030">
        <w:rPr>
          <w:rFonts w:ascii="Verdana" w:hAnsi="Verdana"/>
          <w:sz w:val="20"/>
          <w:szCs w:val="20"/>
        </w:rPr>
        <w:t>1.1.A12.</w:t>
      </w:r>
      <w:r w:rsidR="7E042D50" w:rsidRPr="688A6030">
        <w:rPr>
          <w:rFonts w:ascii="Verdana" w:hAnsi="Verdana"/>
          <w:sz w:val="20"/>
          <w:szCs w:val="20"/>
        </w:rPr>
        <w:t>2</w:t>
      </w:r>
      <w:r w:rsidR="00702C14">
        <w:rPr>
          <w:rFonts w:ascii="Verdana" w:hAnsi="Verdana"/>
          <w:sz w:val="20"/>
          <w:szCs w:val="20"/>
        </w:rPr>
        <w:t>9</w:t>
      </w:r>
      <w:r w:rsidRPr="688A6030">
        <w:rPr>
          <w:rFonts w:ascii="Verdana" w:hAnsi="Verdana"/>
          <w:sz w:val="20"/>
          <w:szCs w:val="20"/>
        </w:rPr>
        <w:t>.</w:t>
      </w:r>
    </w:p>
    <w:p w14:paraId="249407D5" w14:textId="13845E2B" w:rsidR="00912847" w:rsidRPr="00294B10" w:rsidRDefault="00912847" w:rsidP="008E6AE8">
      <w:pPr>
        <w:jc w:val="both"/>
        <w:rPr>
          <w:rFonts w:ascii="Verdana" w:hAnsi="Verdana"/>
          <w:sz w:val="20"/>
          <w:szCs w:val="20"/>
        </w:rPr>
      </w:pPr>
      <w:r w:rsidRPr="00294B10">
        <w:rPr>
          <w:rFonts w:ascii="Verdana" w:hAnsi="Verdana"/>
          <w:sz w:val="20"/>
          <w:szCs w:val="20"/>
        </w:rPr>
        <w:t xml:space="preserve">Pueden calificarse como depósitos operativos aquella proporción de depósitos a la vista de los clientes mayoristas del sector real, entidades financieras vigiladas y FIC abiertos sin pacto de permanencia, que cumpla con todos los requisitos mencionados a continuación: </w:t>
      </w:r>
    </w:p>
    <w:p w14:paraId="2039A1F8" w14:textId="77777777" w:rsidR="00E7673D" w:rsidRDefault="00912847" w:rsidP="00B733F8">
      <w:pPr>
        <w:pStyle w:val="Prrafodelista"/>
        <w:numPr>
          <w:ilvl w:val="0"/>
          <w:numId w:val="19"/>
        </w:numPr>
        <w:spacing w:after="0" w:line="240" w:lineRule="auto"/>
        <w:ind w:left="567" w:hanging="567"/>
        <w:jc w:val="both"/>
        <w:rPr>
          <w:rFonts w:ascii="Verdana" w:hAnsi="Verdana"/>
          <w:sz w:val="20"/>
          <w:szCs w:val="20"/>
        </w:rPr>
      </w:pPr>
      <w:r w:rsidRPr="00E7673D">
        <w:rPr>
          <w:rFonts w:ascii="Verdana" w:hAnsi="Verdana"/>
          <w:sz w:val="20"/>
          <w:szCs w:val="20"/>
        </w:rPr>
        <w:t xml:space="preserve">Que el componente de remuneración del respectivo depósito no sea determinante en la decisión del cliente de mantener sus recursos en la entidad. </w:t>
      </w:r>
    </w:p>
    <w:p w14:paraId="5E29E22E" w14:textId="77777777" w:rsidR="00E7673D" w:rsidRDefault="00E7673D" w:rsidP="00E7673D">
      <w:pPr>
        <w:pStyle w:val="Prrafodelista"/>
        <w:spacing w:after="0" w:line="240" w:lineRule="auto"/>
        <w:ind w:left="567"/>
        <w:jc w:val="both"/>
        <w:rPr>
          <w:rFonts w:ascii="Verdana" w:hAnsi="Verdana"/>
          <w:sz w:val="20"/>
          <w:szCs w:val="20"/>
        </w:rPr>
      </w:pPr>
    </w:p>
    <w:p w14:paraId="04C39CBF" w14:textId="77777777" w:rsidR="00E7673D" w:rsidRDefault="00912847" w:rsidP="00E7673D">
      <w:pPr>
        <w:pStyle w:val="Prrafodelista"/>
        <w:numPr>
          <w:ilvl w:val="0"/>
          <w:numId w:val="19"/>
        </w:numPr>
        <w:spacing w:after="0" w:line="240" w:lineRule="auto"/>
        <w:ind w:left="567" w:hanging="567"/>
        <w:jc w:val="both"/>
        <w:rPr>
          <w:rFonts w:ascii="Verdana" w:hAnsi="Verdana"/>
          <w:sz w:val="20"/>
          <w:szCs w:val="20"/>
        </w:rPr>
      </w:pPr>
      <w:r w:rsidRPr="00E7673D">
        <w:rPr>
          <w:rFonts w:ascii="Verdana" w:hAnsi="Verdana"/>
          <w:sz w:val="20"/>
          <w:szCs w:val="20"/>
        </w:rPr>
        <w:t>Que el cliente tenga una dependencia sustancial al producto prestado por la entidad, en la medida en que lo requiere para gestionar sus flujos de efectivo y realizar la dispersión de pagos u otras operaciones monetarias necesarias para el desarrollo habitual de su objeto social. Este tipo de productos se debe limitar a la transferencia de pagos, compensación y liquidación de operaciones, la recaudación y agrupación de fondos, la administración de nóminas y el control del desembolso de recursos.</w:t>
      </w:r>
    </w:p>
    <w:p w14:paraId="68FFCE8D" w14:textId="77777777" w:rsidR="00E7673D" w:rsidRDefault="00E7673D" w:rsidP="00E7673D">
      <w:pPr>
        <w:pStyle w:val="Prrafodelista"/>
        <w:spacing w:after="0" w:line="240" w:lineRule="auto"/>
        <w:ind w:left="567"/>
        <w:jc w:val="both"/>
        <w:rPr>
          <w:rFonts w:ascii="Verdana" w:hAnsi="Verdana"/>
          <w:sz w:val="20"/>
          <w:szCs w:val="20"/>
        </w:rPr>
      </w:pPr>
    </w:p>
    <w:p w14:paraId="23785327" w14:textId="6F65B89E" w:rsidR="00912847" w:rsidRPr="0063400E" w:rsidRDefault="00912847" w:rsidP="00E7673D">
      <w:pPr>
        <w:pStyle w:val="Prrafodelista"/>
        <w:numPr>
          <w:ilvl w:val="0"/>
          <w:numId w:val="19"/>
        </w:numPr>
        <w:spacing w:after="0" w:line="240" w:lineRule="auto"/>
        <w:ind w:left="567" w:hanging="567"/>
        <w:jc w:val="both"/>
        <w:rPr>
          <w:rFonts w:ascii="Verdana" w:hAnsi="Verdana"/>
          <w:sz w:val="20"/>
          <w:szCs w:val="20"/>
        </w:rPr>
      </w:pPr>
      <w:r w:rsidRPr="00E7673D">
        <w:rPr>
          <w:rFonts w:ascii="Verdana" w:hAnsi="Verdana"/>
          <w:sz w:val="20"/>
          <w:szCs w:val="20"/>
        </w:rPr>
        <w:t xml:space="preserve">Que en el contrato o documentación del depósito correspondiente se pueda verificar o inferir el cumplimiento </w:t>
      </w:r>
      <w:r w:rsidRPr="0063400E">
        <w:rPr>
          <w:rFonts w:ascii="Verdana" w:hAnsi="Verdana"/>
          <w:sz w:val="20"/>
          <w:szCs w:val="20"/>
        </w:rPr>
        <w:t xml:space="preserve">de todos los demás requisitos previstos en los anteriores </w:t>
      </w:r>
      <w:r w:rsidR="0063400E" w:rsidRPr="0063400E">
        <w:rPr>
          <w:rFonts w:ascii="Verdana" w:hAnsi="Verdana"/>
          <w:sz w:val="20"/>
          <w:szCs w:val="20"/>
        </w:rPr>
        <w:t>literales.</w:t>
      </w:r>
    </w:p>
    <w:p w14:paraId="1018F461" w14:textId="77777777" w:rsidR="00DD341E" w:rsidRDefault="00DD341E" w:rsidP="00DD341E">
      <w:pPr>
        <w:spacing w:after="0"/>
        <w:rPr>
          <w:rFonts w:ascii="Verdana" w:hAnsi="Verdana"/>
          <w:sz w:val="20"/>
          <w:szCs w:val="20"/>
        </w:rPr>
      </w:pPr>
    </w:p>
    <w:p w14:paraId="1CD535F8" w14:textId="5F2E0254" w:rsidR="00DD341E" w:rsidRPr="00964B84" w:rsidRDefault="00DD341E" w:rsidP="00DD341E">
      <w:pPr>
        <w:spacing w:after="0"/>
        <w:rPr>
          <w:rFonts w:ascii="Verdana" w:hAnsi="Verdana"/>
          <w:sz w:val="20"/>
          <w:szCs w:val="20"/>
        </w:rPr>
      </w:pPr>
      <w:r w:rsidRPr="688A6030">
        <w:rPr>
          <w:rFonts w:ascii="Verdana" w:hAnsi="Verdana"/>
          <w:sz w:val="20"/>
          <w:szCs w:val="20"/>
        </w:rPr>
        <w:t>1.1.A12.</w:t>
      </w:r>
      <w:r w:rsidR="00702C14">
        <w:rPr>
          <w:rFonts w:ascii="Verdana" w:hAnsi="Verdana"/>
          <w:sz w:val="20"/>
          <w:szCs w:val="20"/>
        </w:rPr>
        <w:t>30</w:t>
      </w:r>
      <w:r w:rsidRPr="688A6030">
        <w:rPr>
          <w:rFonts w:ascii="Verdana" w:hAnsi="Verdana"/>
          <w:sz w:val="20"/>
          <w:szCs w:val="20"/>
        </w:rPr>
        <w:t>.</w:t>
      </w:r>
    </w:p>
    <w:p w14:paraId="5312856B" w14:textId="58FCA9E1" w:rsidR="00E7673D" w:rsidRDefault="00912847" w:rsidP="00F84E9E">
      <w:pPr>
        <w:pStyle w:val="Prrafodelista"/>
        <w:ind w:left="0"/>
        <w:jc w:val="both"/>
        <w:rPr>
          <w:rFonts w:ascii="Verdana" w:hAnsi="Verdana"/>
          <w:sz w:val="20"/>
          <w:szCs w:val="20"/>
        </w:rPr>
      </w:pPr>
      <w:r w:rsidRPr="11388FA0">
        <w:rPr>
          <w:rFonts w:ascii="Verdana" w:hAnsi="Verdana"/>
          <w:sz w:val="20"/>
          <w:szCs w:val="20"/>
        </w:rPr>
        <w:t xml:space="preserve">Este análisis cualitativo debe realizarse de forma individual para cada depósito a la vista. La proporción de recursos que se califica como depósito operativo debe ser determinada de acuerdo con la metodología </w:t>
      </w:r>
      <w:r w:rsidR="005C66D6">
        <w:rPr>
          <w:rFonts w:ascii="Verdana" w:hAnsi="Verdana"/>
          <w:sz w:val="20"/>
          <w:szCs w:val="20"/>
        </w:rPr>
        <w:t>prevista entre los párrafos 1.1.A12.31.</w:t>
      </w:r>
      <w:r w:rsidR="00FA3EC5">
        <w:rPr>
          <w:rFonts w:ascii="Verdana" w:hAnsi="Verdana"/>
          <w:sz w:val="20"/>
          <w:szCs w:val="20"/>
        </w:rPr>
        <w:t xml:space="preserve"> y 1.1.A12.35.</w:t>
      </w:r>
    </w:p>
    <w:p w14:paraId="7C8680A7" w14:textId="77777777" w:rsidR="00F84E9E" w:rsidRPr="00F84E9E" w:rsidRDefault="00F84E9E" w:rsidP="00F84E9E">
      <w:pPr>
        <w:pStyle w:val="Prrafodelista"/>
        <w:ind w:left="0"/>
        <w:jc w:val="both"/>
        <w:rPr>
          <w:rFonts w:ascii="Verdana" w:hAnsi="Verdana"/>
          <w:sz w:val="20"/>
          <w:szCs w:val="20"/>
        </w:rPr>
      </w:pPr>
    </w:p>
    <w:p w14:paraId="7AB45B85" w14:textId="0C1314D2" w:rsidR="00912847" w:rsidRPr="00E7673D" w:rsidRDefault="00912847" w:rsidP="00E7673D">
      <w:pPr>
        <w:pStyle w:val="Prrafodelista"/>
        <w:numPr>
          <w:ilvl w:val="0"/>
          <w:numId w:val="16"/>
        </w:numPr>
        <w:ind w:left="567" w:hanging="283"/>
        <w:jc w:val="both"/>
        <w:rPr>
          <w:rFonts w:ascii="Verdana" w:hAnsi="Verdana"/>
          <w:sz w:val="20"/>
          <w:szCs w:val="20"/>
        </w:rPr>
      </w:pPr>
      <w:r w:rsidRPr="00E7673D">
        <w:rPr>
          <w:rFonts w:ascii="Verdana" w:hAnsi="Verdana"/>
          <w:b/>
          <w:bCs/>
          <w:sz w:val="20"/>
          <w:szCs w:val="20"/>
        </w:rPr>
        <w:t xml:space="preserve">Metodología para la determinación de la proporción operativa </w:t>
      </w:r>
    </w:p>
    <w:p w14:paraId="560233B4" w14:textId="3B047875" w:rsidR="00C9297B" w:rsidRPr="00964B84" w:rsidRDefault="00C9297B" w:rsidP="00C9297B">
      <w:pPr>
        <w:spacing w:after="0"/>
        <w:rPr>
          <w:rFonts w:ascii="Verdana" w:hAnsi="Verdana"/>
          <w:sz w:val="20"/>
          <w:szCs w:val="20"/>
        </w:rPr>
      </w:pPr>
      <w:r w:rsidRPr="688A6030">
        <w:rPr>
          <w:rFonts w:ascii="Verdana" w:hAnsi="Verdana"/>
          <w:sz w:val="20"/>
          <w:szCs w:val="20"/>
        </w:rPr>
        <w:t>1.1.A12.</w:t>
      </w:r>
      <w:r w:rsidR="08879FB2" w:rsidRPr="688A6030">
        <w:rPr>
          <w:rFonts w:ascii="Verdana" w:hAnsi="Verdana"/>
          <w:sz w:val="20"/>
          <w:szCs w:val="20"/>
        </w:rPr>
        <w:t>3</w:t>
      </w:r>
      <w:r w:rsidR="00702C14">
        <w:rPr>
          <w:rFonts w:ascii="Verdana" w:hAnsi="Verdana"/>
          <w:sz w:val="20"/>
          <w:szCs w:val="20"/>
        </w:rPr>
        <w:t>1</w:t>
      </w:r>
      <w:r w:rsidRPr="688A6030">
        <w:rPr>
          <w:rFonts w:ascii="Verdana" w:hAnsi="Verdana"/>
          <w:sz w:val="20"/>
          <w:szCs w:val="20"/>
        </w:rPr>
        <w:t>.</w:t>
      </w:r>
    </w:p>
    <w:p w14:paraId="7427F6D9" w14:textId="5D4D30D3" w:rsidR="00912847" w:rsidRPr="00294B10" w:rsidRDefault="00912847" w:rsidP="008E6AE8">
      <w:pPr>
        <w:jc w:val="both"/>
        <w:rPr>
          <w:rFonts w:ascii="Verdana" w:hAnsi="Verdana"/>
          <w:sz w:val="20"/>
          <w:szCs w:val="20"/>
        </w:rPr>
      </w:pPr>
      <w:r w:rsidRPr="11388FA0">
        <w:rPr>
          <w:rFonts w:ascii="Verdana" w:hAnsi="Verdana"/>
          <w:sz w:val="20"/>
          <w:szCs w:val="20"/>
        </w:rPr>
        <w:t xml:space="preserve">Una vez realizada la verificación del cumplimiento de los requisitos </w:t>
      </w:r>
      <w:r w:rsidR="001050B8">
        <w:rPr>
          <w:rFonts w:ascii="Verdana" w:hAnsi="Verdana"/>
          <w:sz w:val="20"/>
          <w:szCs w:val="20"/>
        </w:rPr>
        <w:t>al análisis cualitativo (párrafos 1.1.A12.</w:t>
      </w:r>
      <w:r w:rsidR="00B8575B">
        <w:rPr>
          <w:rFonts w:ascii="Verdana" w:hAnsi="Verdana"/>
          <w:sz w:val="20"/>
          <w:szCs w:val="20"/>
        </w:rPr>
        <w:t>29. y 1.1.A12.30.)</w:t>
      </w:r>
      <w:r w:rsidRPr="11388FA0">
        <w:rPr>
          <w:rFonts w:ascii="Verdana" w:hAnsi="Verdana"/>
          <w:sz w:val="20"/>
          <w:szCs w:val="20"/>
        </w:rPr>
        <w:t xml:space="preserve">, las entidades deben establecer la proporción de los depósitos a la vista que pueden recibir el tratamiento de depósitos operativos. </w:t>
      </w:r>
    </w:p>
    <w:p w14:paraId="061EEEEE" w14:textId="221A7B88" w:rsidR="00C9297B" w:rsidRPr="00964B84" w:rsidRDefault="00C9297B" w:rsidP="00C9297B">
      <w:pPr>
        <w:spacing w:after="0"/>
        <w:rPr>
          <w:rFonts w:ascii="Verdana" w:hAnsi="Verdana"/>
          <w:sz w:val="20"/>
          <w:szCs w:val="20"/>
        </w:rPr>
      </w:pPr>
      <w:r w:rsidRPr="688A6030">
        <w:rPr>
          <w:rFonts w:ascii="Verdana" w:hAnsi="Verdana"/>
          <w:sz w:val="20"/>
          <w:szCs w:val="20"/>
        </w:rPr>
        <w:t>1.1.A12.</w:t>
      </w:r>
      <w:r w:rsidR="7F486BFE" w:rsidRPr="688A6030">
        <w:rPr>
          <w:rFonts w:ascii="Verdana" w:hAnsi="Verdana"/>
          <w:sz w:val="20"/>
          <w:szCs w:val="20"/>
        </w:rPr>
        <w:t>3</w:t>
      </w:r>
      <w:r w:rsidR="00702C14">
        <w:rPr>
          <w:rFonts w:ascii="Verdana" w:hAnsi="Verdana"/>
          <w:sz w:val="20"/>
          <w:szCs w:val="20"/>
        </w:rPr>
        <w:t>2</w:t>
      </w:r>
      <w:r w:rsidRPr="688A6030">
        <w:rPr>
          <w:rFonts w:ascii="Verdana" w:hAnsi="Verdana"/>
          <w:sz w:val="20"/>
          <w:szCs w:val="20"/>
        </w:rPr>
        <w:t>.</w:t>
      </w:r>
    </w:p>
    <w:p w14:paraId="782BBAD8" w14:textId="5CEF771E" w:rsidR="00912847" w:rsidRPr="00294B10" w:rsidRDefault="00912847" w:rsidP="008E6AE8">
      <w:pPr>
        <w:jc w:val="both"/>
        <w:rPr>
          <w:rFonts w:ascii="Verdana" w:hAnsi="Verdana"/>
          <w:sz w:val="20"/>
          <w:szCs w:val="20"/>
        </w:rPr>
      </w:pPr>
      <w:r w:rsidRPr="11388FA0">
        <w:rPr>
          <w:rFonts w:ascii="Verdana" w:hAnsi="Verdana"/>
          <w:sz w:val="20"/>
          <w:szCs w:val="20"/>
        </w:rPr>
        <w:t>Para estos efectos, la entidad debe establecer una metodología que permita determinar la proporción de los recursos que pueden ponderarse en el CFEN como operativos, para los segmentos de clientes mayoristas de sector real, entidades financieras vigiladas y FIC abiertos sin pacto de permanencia. El monto que exceda la proporción de los recursos considerados como depósitos operativos, bajo la metodología aplicada por la entidad, debe tratarse como un depósito no operativo del respectivo segmento. Así mismo, se consideran no operativos los depósitos de los segmentos para los cuales la entidad no implement</w:t>
      </w:r>
      <w:r w:rsidRPr="00B8575B">
        <w:rPr>
          <w:rFonts w:ascii="Verdana" w:hAnsi="Verdana"/>
          <w:sz w:val="20"/>
          <w:szCs w:val="20"/>
        </w:rPr>
        <w:t xml:space="preserve">e una metodología, caso en el cual deben computarse en los rubros 7, 10 y 12 de la tabla del </w:t>
      </w:r>
      <w:r w:rsidR="00B8575B" w:rsidRPr="00B8575B">
        <w:rPr>
          <w:rFonts w:ascii="Verdana" w:hAnsi="Verdana"/>
          <w:sz w:val="20"/>
          <w:szCs w:val="20"/>
        </w:rPr>
        <w:t>párrafo</w:t>
      </w:r>
      <w:r w:rsidR="00B8575B">
        <w:rPr>
          <w:rFonts w:ascii="Verdana" w:hAnsi="Verdana"/>
          <w:sz w:val="20"/>
          <w:szCs w:val="20"/>
        </w:rPr>
        <w:t xml:space="preserve"> 1.1.A12.13.</w:t>
      </w:r>
      <w:r w:rsidRPr="11388FA0">
        <w:rPr>
          <w:rFonts w:ascii="Verdana" w:hAnsi="Verdana"/>
          <w:sz w:val="20"/>
          <w:szCs w:val="20"/>
        </w:rPr>
        <w:t xml:space="preserve">, según corresponda a cada segmento. </w:t>
      </w:r>
    </w:p>
    <w:p w14:paraId="7A37EA09" w14:textId="4C982704" w:rsidR="00173F3D" w:rsidRPr="00964B84" w:rsidRDefault="00173F3D" w:rsidP="00173F3D">
      <w:pPr>
        <w:spacing w:after="0"/>
        <w:rPr>
          <w:rFonts w:ascii="Verdana" w:hAnsi="Verdana"/>
          <w:sz w:val="20"/>
          <w:szCs w:val="20"/>
        </w:rPr>
      </w:pPr>
      <w:r w:rsidRPr="688A6030">
        <w:rPr>
          <w:rFonts w:ascii="Verdana" w:hAnsi="Verdana"/>
          <w:sz w:val="20"/>
          <w:szCs w:val="20"/>
        </w:rPr>
        <w:t>1.1.A12.</w:t>
      </w:r>
      <w:r w:rsidR="0BB76D95" w:rsidRPr="688A6030">
        <w:rPr>
          <w:rFonts w:ascii="Verdana" w:hAnsi="Verdana"/>
          <w:sz w:val="20"/>
          <w:szCs w:val="20"/>
        </w:rPr>
        <w:t>3</w:t>
      </w:r>
      <w:r w:rsidR="00702C14">
        <w:rPr>
          <w:rFonts w:ascii="Verdana" w:hAnsi="Verdana"/>
          <w:sz w:val="20"/>
          <w:szCs w:val="20"/>
        </w:rPr>
        <w:t>3</w:t>
      </w:r>
      <w:r w:rsidRPr="688A6030">
        <w:rPr>
          <w:rFonts w:ascii="Verdana" w:hAnsi="Verdana"/>
          <w:sz w:val="20"/>
          <w:szCs w:val="20"/>
        </w:rPr>
        <w:t>.</w:t>
      </w:r>
    </w:p>
    <w:p w14:paraId="1E0EF5E3" w14:textId="3D3AA7BA" w:rsidR="00912847" w:rsidRPr="00294B10" w:rsidRDefault="00912847" w:rsidP="008E6AE8">
      <w:pPr>
        <w:jc w:val="both"/>
        <w:rPr>
          <w:rFonts w:ascii="Verdana" w:hAnsi="Verdana"/>
          <w:sz w:val="20"/>
          <w:szCs w:val="20"/>
        </w:rPr>
      </w:pPr>
      <w:r w:rsidRPr="00294B10">
        <w:rPr>
          <w:rFonts w:ascii="Verdana" w:hAnsi="Verdana"/>
          <w:sz w:val="20"/>
          <w:szCs w:val="20"/>
        </w:rPr>
        <w:t xml:space="preserve">La metodología diseñada por cada entidad debe contar con un nivel de desagregación suficiente que permita estimar la proporción operativa y no operativa para cada depósito o para un grupo de depósitos del mismo segmento, siempre que dichos grupos tengan características asimilables que permitan su agrupación y entreguen resultados estadísticamente relevantes. </w:t>
      </w:r>
    </w:p>
    <w:p w14:paraId="5062EC39" w14:textId="01F4D667" w:rsidR="0077333D" w:rsidRPr="00964B84" w:rsidRDefault="0077333D" w:rsidP="0077333D">
      <w:pPr>
        <w:spacing w:after="0"/>
        <w:rPr>
          <w:rFonts w:ascii="Verdana" w:hAnsi="Verdana"/>
          <w:sz w:val="20"/>
          <w:szCs w:val="20"/>
        </w:rPr>
      </w:pPr>
      <w:r w:rsidRPr="688A6030">
        <w:rPr>
          <w:rFonts w:ascii="Verdana" w:hAnsi="Verdana"/>
          <w:sz w:val="20"/>
          <w:szCs w:val="20"/>
        </w:rPr>
        <w:t>1.1.A12.</w:t>
      </w:r>
      <w:r w:rsidR="1371572C" w:rsidRPr="688A6030">
        <w:rPr>
          <w:rFonts w:ascii="Verdana" w:hAnsi="Verdana"/>
          <w:sz w:val="20"/>
          <w:szCs w:val="20"/>
        </w:rPr>
        <w:t>3</w:t>
      </w:r>
      <w:r w:rsidR="00702C14">
        <w:rPr>
          <w:rFonts w:ascii="Verdana" w:hAnsi="Verdana"/>
          <w:sz w:val="20"/>
          <w:szCs w:val="20"/>
        </w:rPr>
        <w:t>4</w:t>
      </w:r>
      <w:r w:rsidRPr="688A6030">
        <w:rPr>
          <w:rFonts w:ascii="Verdana" w:hAnsi="Verdana"/>
          <w:sz w:val="20"/>
          <w:szCs w:val="20"/>
        </w:rPr>
        <w:t>.</w:t>
      </w:r>
    </w:p>
    <w:p w14:paraId="5D933D73" w14:textId="6F9ED91D" w:rsidR="00912847" w:rsidRPr="00294B10" w:rsidRDefault="00912847" w:rsidP="008E6AE8">
      <w:pPr>
        <w:jc w:val="both"/>
        <w:rPr>
          <w:rFonts w:ascii="Verdana" w:hAnsi="Verdana"/>
          <w:sz w:val="20"/>
          <w:szCs w:val="20"/>
        </w:rPr>
      </w:pPr>
      <w:r w:rsidRPr="00294B10">
        <w:rPr>
          <w:rFonts w:ascii="Verdana" w:hAnsi="Verdana"/>
          <w:sz w:val="20"/>
          <w:szCs w:val="20"/>
        </w:rPr>
        <w:t>La metodología deberá tener en cuenta factores relevantes como el riesgo de retiro de los depósitos en condiciones de estrés, la probabilidad de que los clientes mantengan posiciones superiores a la media anticipando necesidades de pago concretas, y deberá considerar indicadores adecuados como, por ejemplo, el cociente de los recursos depositados sobre los volúmenes de pagos o liquidaciones o sobre los activos bajo administración o custodia.</w:t>
      </w:r>
    </w:p>
    <w:p w14:paraId="168D6EED" w14:textId="1496DAEC" w:rsidR="00462D61" w:rsidRPr="00964B84" w:rsidRDefault="00462D61" w:rsidP="00462D61">
      <w:pPr>
        <w:spacing w:after="0"/>
        <w:rPr>
          <w:rFonts w:ascii="Verdana" w:hAnsi="Verdana"/>
          <w:sz w:val="20"/>
          <w:szCs w:val="20"/>
        </w:rPr>
      </w:pPr>
      <w:r w:rsidRPr="688A6030">
        <w:rPr>
          <w:rFonts w:ascii="Verdana" w:hAnsi="Verdana"/>
          <w:sz w:val="20"/>
          <w:szCs w:val="20"/>
        </w:rPr>
        <w:t>1.1.A12.</w:t>
      </w:r>
      <w:r w:rsidR="4190858E" w:rsidRPr="688A6030">
        <w:rPr>
          <w:rFonts w:ascii="Verdana" w:hAnsi="Verdana"/>
          <w:sz w:val="20"/>
          <w:szCs w:val="20"/>
        </w:rPr>
        <w:t>3</w:t>
      </w:r>
      <w:r w:rsidR="00702C14">
        <w:rPr>
          <w:rFonts w:ascii="Verdana" w:hAnsi="Verdana"/>
          <w:sz w:val="20"/>
          <w:szCs w:val="20"/>
        </w:rPr>
        <w:t>5</w:t>
      </w:r>
      <w:r w:rsidRPr="688A6030">
        <w:rPr>
          <w:rFonts w:ascii="Verdana" w:hAnsi="Verdana"/>
          <w:sz w:val="20"/>
          <w:szCs w:val="20"/>
        </w:rPr>
        <w:t>.</w:t>
      </w:r>
    </w:p>
    <w:p w14:paraId="1D8051CE" w14:textId="1DD1DB70" w:rsidR="00912847" w:rsidRPr="00294B10" w:rsidRDefault="00912847" w:rsidP="008E6AE8">
      <w:pPr>
        <w:jc w:val="both"/>
        <w:rPr>
          <w:rFonts w:ascii="Verdana" w:hAnsi="Verdana"/>
          <w:sz w:val="20"/>
          <w:szCs w:val="20"/>
        </w:rPr>
      </w:pPr>
      <w:r w:rsidRPr="00294B10">
        <w:rPr>
          <w:rFonts w:ascii="Verdana" w:hAnsi="Verdana"/>
          <w:sz w:val="20"/>
          <w:szCs w:val="20"/>
        </w:rPr>
        <w:t xml:space="preserve">Estas metodologías, así como sus cambios y actualizaciones, deben presentarse para no objeción de la SFC con por lo menos 4 meses de antelación a la fecha esperada para su aplicación. Para el efecto, las entidades deben remitir un documento con la descripción de la metodología junto con los análisis que sustentan su escogencia y los supuestos realizados, así como una explicación de los parámetros incorporados y del impacto estimado de la aplicación de la metodología. En todo caso, en cualquier momento la SFC </w:t>
      </w:r>
      <w:r w:rsidRPr="00294B10">
        <w:rPr>
          <w:rFonts w:ascii="Verdana" w:hAnsi="Verdana"/>
          <w:sz w:val="20"/>
          <w:szCs w:val="20"/>
        </w:rPr>
        <w:lastRenderedPageBreak/>
        <w:t xml:space="preserve">podrá requerir los ajustes correspondientes u ordenar que determinados depósitos sean tratados como no operativos. </w:t>
      </w:r>
    </w:p>
    <w:p w14:paraId="460E72C5" w14:textId="59339BFC" w:rsidR="00912847" w:rsidRPr="00706156" w:rsidRDefault="00912847" w:rsidP="00912847">
      <w:pPr>
        <w:jc w:val="both"/>
        <w:rPr>
          <w:rFonts w:ascii="Verdana" w:hAnsi="Verdana"/>
          <w:b/>
          <w:bCs/>
          <w:sz w:val="20"/>
          <w:szCs w:val="20"/>
        </w:rPr>
      </w:pPr>
      <w:r w:rsidRPr="00706156">
        <w:rPr>
          <w:rFonts w:ascii="Verdana" w:hAnsi="Verdana"/>
          <w:b/>
          <w:bCs/>
          <w:sz w:val="20"/>
          <w:szCs w:val="20"/>
        </w:rPr>
        <w:t>Fondeo Estable Requerido (FER)</w:t>
      </w:r>
    </w:p>
    <w:p w14:paraId="24341091" w14:textId="50B8BAA8" w:rsidR="00EE3AB9" w:rsidRPr="00964B84" w:rsidRDefault="00EE3AB9" w:rsidP="00EE3AB9">
      <w:pPr>
        <w:spacing w:after="0"/>
        <w:rPr>
          <w:rFonts w:ascii="Verdana" w:hAnsi="Verdana"/>
          <w:sz w:val="20"/>
          <w:szCs w:val="20"/>
        </w:rPr>
      </w:pPr>
      <w:r w:rsidRPr="688A6030">
        <w:rPr>
          <w:rFonts w:ascii="Verdana" w:hAnsi="Verdana"/>
          <w:sz w:val="20"/>
          <w:szCs w:val="20"/>
        </w:rPr>
        <w:t>1.1.A12.</w:t>
      </w:r>
      <w:r w:rsidR="7A9B8603" w:rsidRPr="688A6030">
        <w:rPr>
          <w:rFonts w:ascii="Verdana" w:hAnsi="Verdana"/>
          <w:sz w:val="20"/>
          <w:szCs w:val="20"/>
        </w:rPr>
        <w:t>3</w:t>
      </w:r>
      <w:r w:rsidR="00702C14">
        <w:rPr>
          <w:rFonts w:ascii="Verdana" w:hAnsi="Verdana"/>
          <w:sz w:val="20"/>
          <w:szCs w:val="20"/>
        </w:rPr>
        <w:t>6</w:t>
      </w:r>
      <w:r w:rsidRPr="688A6030">
        <w:rPr>
          <w:rFonts w:ascii="Verdana" w:hAnsi="Verdana"/>
          <w:sz w:val="20"/>
          <w:szCs w:val="20"/>
        </w:rPr>
        <w:t>.</w:t>
      </w:r>
    </w:p>
    <w:p w14:paraId="7C3C368A" w14:textId="77A2AD4B" w:rsidR="00912847" w:rsidRPr="00912847" w:rsidRDefault="00912847" w:rsidP="00912847">
      <w:pPr>
        <w:jc w:val="both"/>
        <w:rPr>
          <w:rFonts w:ascii="Verdana" w:hAnsi="Verdana"/>
          <w:sz w:val="20"/>
          <w:szCs w:val="20"/>
        </w:rPr>
      </w:pPr>
      <w:r w:rsidRPr="00912847">
        <w:rPr>
          <w:rFonts w:ascii="Verdana" w:hAnsi="Verdana"/>
          <w:sz w:val="20"/>
          <w:szCs w:val="20"/>
        </w:rPr>
        <w:t>El FER se calcula en función de las características generales del perfil de riesgo de liquidez de los activos y de las posiciones fuera de balance de las entidades. Este rubro se determina multiplicando el valor contable de cada uno de los activos y de las posiciones fuera de balance que se definen más adelante por su factor FER, y posteriormente agregando todos los rubros ponderados.</w:t>
      </w:r>
    </w:p>
    <w:p w14:paraId="30B325DD" w14:textId="23B1C688" w:rsidR="00A70CFD" w:rsidRPr="00964B84" w:rsidRDefault="00A70CFD" w:rsidP="00A70CFD">
      <w:pPr>
        <w:spacing w:after="0"/>
        <w:rPr>
          <w:rFonts w:ascii="Verdana" w:hAnsi="Verdana"/>
          <w:sz w:val="20"/>
          <w:szCs w:val="20"/>
        </w:rPr>
      </w:pPr>
      <w:r w:rsidRPr="688A6030">
        <w:rPr>
          <w:rFonts w:ascii="Verdana" w:hAnsi="Verdana"/>
          <w:sz w:val="20"/>
          <w:szCs w:val="20"/>
        </w:rPr>
        <w:t>1.1.A12.</w:t>
      </w:r>
      <w:r w:rsidR="12AE4D47" w:rsidRPr="688A6030">
        <w:rPr>
          <w:rFonts w:ascii="Verdana" w:hAnsi="Verdana"/>
          <w:sz w:val="20"/>
          <w:szCs w:val="20"/>
        </w:rPr>
        <w:t>3</w:t>
      </w:r>
      <w:r w:rsidR="00702C14">
        <w:rPr>
          <w:rFonts w:ascii="Verdana" w:hAnsi="Verdana"/>
          <w:sz w:val="20"/>
          <w:szCs w:val="20"/>
        </w:rPr>
        <w:t>7</w:t>
      </w:r>
      <w:r w:rsidRPr="688A6030">
        <w:rPr>
          <w:rFonts w:ascii="Verdana" w:hAnsi="Verdana"/>
          <w:sz w:val="20"/>
          <w:szCs w:val="20"/>
        </w:rPr>
        <w:t>.</w:t>
      </w:r>
    </w:p>
    <w:p w14:paraId="3BAAFAE4" w14:textId="67E3CA11" w:rsidR="00912847" w:rsidRPr="00912847" w:rsidRDefault="00912847" w:rsidP="00912847">
      <w:pPr>
        <w:jc w:val="both"/>
        <w:rPr>
          <w:rFonts w:ascii="Verdana" w:hAnsi="Verdana"/>
          <w:sz w:val="20"/>
          <w:szCs w:val="20"/>
        </w:rPr>
      </w:pPr>
      <w:r w:rsidRPr="00912847">
        <w:rPr>
          <w:rFonts w:ascii="Verdana" w:hAnsi="Verdana"/>
          <w:sz w:val="20"/>
          <w:szCs w:val="20"/>
        </w:rPr>
        <w:t>Los factores FER pretenden aproximar el monto de un activo concreto que tendría que ser financiado, ya sea porque será renovado, o porque no podría ser liquidado mediante su venta o porque está comprometido en una operación de mercado monetario, en el transcurso de un año sin incurrir en pérdidas significativas. Dicho monto, deberá ser financiado con fuentes de fondeo estable (FED).</w:t>
      </w:r>
    </w:p>
    <w:p w14:paraId="69FB74F8" w14:textId="639933F9" w:rsidR="00A70CFD" w:rsidRPr="00964B84" w:rsidRDefault="00A70CFD" w:rsidP="00A70CFD">
      <w:pPr>
        <w:spacing w:after="0"/>
        <w:rPr>
          <w:rFonts w:ascii="Verdana" w:hAnsi="Verdana"/>
          <w:sz w:val="20"/>
          <w:szCs w:val="20"/>
        </w:rPr>
      </w:pPr>
      <w:r w:rsidRPr="688A6030">
        <w:rPr>
          <w:rFonts w:ascii="Verdana" w:hAnsi="Verdana"/>
          <w:sz w:val="20"/>
          <w:szCs w:val="20"/>
        </w:rPr>
        <w:t>1.1.A12.</w:t>
      </w:r>
      <w:r w:rsidR="3E8FF849" w:rsidRPr="688A6030">
        <w:rPr>
          <w:rFonts w:ascii="Verdana" w:hAnsi="Verdana"/>
          <w:sz w:val="20"/>
          <w:szCs w:val="20"/>
        </w:rPr>
        <w:t>3</w:t>
      </w:r>
      <w:r w:rsidR="00702C14">
        <w:rPr>
          <w:rFonts w:ascii="Verdana" w:hAnsi="Verdana"/>
          <w:sz w:val="20"/>
          <w:szCs w:val="20"/>
        </w:rPr>
        <w:t>8</w:t>
      </w:r>
      <w:r w:rsidRPr="688A6030">
        <w:rPr>
          <w:rFonts w:ascii="Verdana" w:hAnsi="Verdana"/>
          <w:sz w:val="20"/>
          <w:szCs w:val="20"/>
        </w:rPr>
        <w:t>.</w:t>
      </w:r>
    </w:p>
    <w:p w14:paraId="0F7DD17A" w14:textId="1E0EED06" w:rsidR="00912847" w:rsidRPr="00912847" w:rsidRDefault="00912847" w:rsidP="00912847">
      <w:pPr>
        <w:jc w:val="both"/>
        <w:rPr>
          <w:rFonts w:ascii="Verdana" w:hAnsi="Verdana"/>
          <w:sz w:val="20"/>
          <w:szCs w:val="20"/>
        </w:rPr>
      </w:pPr>
      <w:r w:rsidRPr="00912847">
        <w:rPr>
          <w:rFonts w:ascii="Verdana" w:hAnsi="Verdana"/>
          <w:sz w:val="20"/>
          <w:szCs w:val="20"/>
        </w:rPr>
        <w:t xml:space="preserve">Al determinar el vencimiento de un instrumento o posición fuera de balance, se debe suponer que las contrapartes ejercen cualquier opción para prolongar el plazo al vencimiento. En el caso de los créditos, se deben tomar los saldos de cartera neta de provisiones, y para el tratamiento de los flujos que se van amortizando, la proporción de los flujos (incluyendo capital, intereses y otros conceptos) que vence dentro del horizonte de 6 meses o de un año, podrá recibir el tratamiento aplicable a la respectiva categoría con vencimiento residual inferior a 6 meses o inferior a un año, según corresponda. </w:t>
      </w:r>
    </w:p>
    <w:p w14:paraId="5CAF7A3D" w14:textId="5C3AF68A" w:rsidR="00241827" w:rsidRPr="00964B84" w:rsidRDefault="00241827" w:rsidP="00241827">
      <w:pPr>
        <w:spacing w:after="0"/>
        <w:rPr>
          <w:rFonts w:ascii="Verdana" w:hAnsi="Verdana"/>
          <w:sz w:val="20"/>
          <w:szCs w:val="20"/>
        </w:rPr>
      </w:pPr>
      <w:r w:rsidRPr="688A6030">
        <w:rPr>
          <w:rFonts w:ascii="Verdana" w:hAnsi="Verdana"/>
          <w:sz w:val="20"/>
          <w:szCs w:val="20"/>
        </w:rPr>
        <w:t>1.1.A12.</w:t>
      </w:r>
      <w:r w:rsidR="47486233" w:rsidRPr="688A6030">
        <w:rPr>
          <w:rFonts w:ascii="Verdana" w:hAnsi="Verdana"/>
          <w:sz w:val="20"/>
          <w:szCs w:val="20"/>
        </w:rPr>
        <w:t>3</w:t>
      </w:r>
      <w:r w:rsidR="00702C14">
        <w:rPr>
          <w:rFonts w:ascii="Verdana" w:hAnsi="Verdana"/>
          <w:sz w:val="20"/>
          <w:szCs w:val="20"/>
        </w:rPr>
        <w:t>9</w:t>
      </w:r>
      <w:r w:rsidRPr="688A6030">
        <w:rPr>
          <w:rFonts w:ascii="Verdana" w:hAnsi="Verdana"/>
          <w:sz w:val="20"/>
          <w:szCs w:val="20"/>
        </w:rPr>
        <w:t>.</w:t>
      </w:r>
    </w:p>
    <w:p w14:paraId="0CFAF24F" w14:textId="62A62492" w:rsidR="00912847" w:rsidRPr="00912847" w:rsidRDefault="00912847" w:rsidP="00912847">
      <w:pPr>
        <w:jc w:val="both"/>
        <w:rPr>
          <w:rFonts w:ascii="Verdana" w:hAnsi="Verdana"/>
          <w:sz w:val="20"/>
          <w:szCs w:val="20"/>
        </w:rPr>
      </w:pPr>
      <w:r w:rsidRPr="11388FA0">
        <w:rPr>
          <w:rFonts w:ascii="Verdana" w:hAnsi="Verdana"/>
          <w:sz w:val="20"/>
          <w:szCs w:val="20"/>
        </w:rPr>
        <w:t xml:space="preserve">Se deben excluir de los rubros de cartera los activos correspondientes a créditos asociados a operaciones interdependientes. Son operaciones interdependientes aquellas que cumplan todos </w:t>
      </w:r>
      <w:r w:rsidRPr="00F904C7">
        <w:rPr>
          <w:rFonts w:ascii="Verdana" w:hAnsi="Verdana"/>
          <w:sz w:val="20"/>
          <w:szCs w:val="20"/>
        </w:rPr>
        <w:t xml:space="preserve">los requisitos señalados </w:t>
      </w:r>
      <w:r w:rsidR="00F904C7" w:rsidRPr="00F904C7">
        <w:rPr>
          <w:rFonts w:ascii="Verdana" w:hAnsi="Verdana"/>
          <w:sz w:val="20"/>
          <w:szCs w:val="20"/>
        </w:rPr>
        <w:t>entre los párrafos 1.1.A12.4. y 1.1.A12.35</w:t>
      </w:r>
      <w:r w:rsidRPr="00F904C7">
        <w:rPr>
          <w:rFonts w:ascii="Verdana" w:hAnsi="Verdana"/>
          <w:sz w:val="20"/>
          <w:szCs w:val="20"/>
        </w:rPr>
        <w:t>. En el caso que una operación clasificada como interdependiente deje de cumplir c</w:t>
      </w:r>
      <w:r w:rsidRPr="11388FA0">
        <w:rPr>
          <w:rFonts w:ascii="Verdana" w:hAnsi="Verdana"/>
          <w:sz w:val="20"/>
          <w:szCs w:val="20"/>
        </w:rPr>
        <w:t>on alguna de las condiciones allí señaladas, perderá esa condición y deberá clasificarse en los correspondientes rubros del FER.</w:t>
      </w:r>
    </w:p>
    <w:p w14:paraId="48F62BD2" w14:textId="44BD6B90" w:rsidR="00AA33B9" w:rsidRPr="00964B84" w:rsidRDefault="00AA33B9" w:rsidP="00AA33B9">
      <w:pPr>
        <w:spacing w:after="0"/>
        <w:rPr>
          <w:rFonts w:ascii="Verdana" w:hAnsi="Verdana"/>
          <w:sz w:val="20"/>
          <w:szCs w:val="20"/>
        </w:rPr>
      </w:pPr>
      <w:r w:rsidRPr="688A6030">
        <w:rPr>
          <w:rFonts w:ascii="Verdana" w:hAnsi="Verdana"/>
          <w:sz w:val="20"/>
          <w:szCs w:val="20"/>
        </w:rPr>
        <w:t>1.1.A12.</w:t>
      </w:r>
      <w:r w:rsidR="00702C14">
        <w:rPr>
          <w:rFonts w:ascii="Verdana" w:hAnsi="Verdana"/>
          <w:sz w:val="20"/>
          <w:szCs w:val="20"/>
        </w:rPr>
        <w:t>40</w:t>
      </w:r>
      <w:r w:rsidRPr="688A6030">
        <w:rPr>
          <w:rFonts w:ascii="Verdana" w:hAnsi="Verdana"/>
          <w:sz w:val="20"/>
          <w:szCs w:val="20"/>
        </w:rPr>
        <w:t>.</w:t>
      </w:r>
    </w:p>
    <w:p w14:paraId="1A2BDF88" w14:textId="0D8D6E3C" w:rsidR="00912847" w:rsidRPr="00912847" w:rsidRDefault="00912847" w:rsidP="00912847">
      <w:pPr>
        <w:jc w:val="both"/>
        <w:rPr>
          <w:rFonts w:ascii="Verdana" w:hAnsi="Verdana"/>
          <w:sz w:val="20"/>
          <w:szCs w:val="20"/>
        </w:rPr>
      </w:pPr>
      <w:r w:rsidRPr="00912847">
        <w:rPr>
          <w:rFonts w:ascii="Verdana" w:hAnsi="Verdana"/>
          <w:sz w:val="20"/>
          <w:szCs w:val="20"/>
        </w:rPr>
        <w:t xml:space="preserve">Las entidades deberán mantener a disposición de la SFC un documento en el cual se incorporen las razones que sustentan el cumplimiento de los requisitos señalados anteriormente. </w:t>
      </w:r>
    </w:p>
    <w:p w14:paraId="7DA76453" w14:textId="3B1346A6" w:rsidR="00EC7903" w:rsidRPr="00964B84" w:rsidRDefault="00EC7903" w:rsidP="00EC7903">
      <w:pPr>
        <w:spacing w:after="0"/>
        <w:rPr>
          <w:rFonts w:ascii="Verdana" w:hAnsi="Verdana"/>
          <w:sz w:val="20"/>
          <w:szCs w:val="20"/>
        </w:rPr>
      </w:pPr>
      <w:r w:rsidRPr="688A6030">
        <w:rPr>
          <w:rFonts w:ascii="Verdana" w:hAnsi="Verdana"/>
          <w:sz w:val="20"/>
          <w:szCs w:val="20"/>
        </w:rPr>
        <w:t>1.1.A12.</w:t>
      </w:r>
      <w:r w:rsidR="7B9379EA" w:rsidRPr="688A6030">
        <w:rPr>
          <w:rFonts w:ascii="Verdana" w:hAnsi="Verdana"/>
          <w:sz w:val="20"/>
          <w:szCs w:val="20"/>
        </w:rPr>
        <w:t>4</w:t>
      </w:r>
      <w:r w:rsidR="00702C14">
        <w:rPr>
          <w:rFonts w:ascii="Verdana" w:hAnsi="Verdana"/>
          <w:sz w:val="20"/>
          <w:szCs w:val="20"/>
        </w:rPr>
        <w:t>1</w:t>
      </w:r>
      <w:r w:rsidRPr="688A6030">
        <w:rPr>
          <w:rFonts w:ascii="Verdana" w:hAnsi="Verdana"/>
          <w:sz w:val="20"/>
          <w:szCs w:val="20"/>
        </w:rPr>
        <w:t>.</w:t>
      </w:r>
    </w:p>
    <w:p w14:paraId="3367C66F" w14:textId="04502A55" w:rsidR="00912847" w:rsidRPr="00912847" w:rsidRDefault="00912847" w:rsidP="00912847">
      <w:pPr>
        <w:jc w:val="both"/>
        <w:rPr>
          <w:rFonts w:ascii="Verdana" w:hAnsi="Verdana"/>
          <w:sz w:val="20"/>
          <w:szCs w:val="20"/>
        </w:rPr>
      </w:pPr>
      <w:r w:rsidRPr="00912847">
        <w:rPr>
          <w:rFonts w:ascii="Verdana" w:hAnsi="Verdana"/>
          <w:sz w:val="20"/>
          <w:szCs w:val="20"/>
        </w:rPr>
        <w:t xml:space="preserve">Para todos los efectos, las operaciones de redescuento se consideran operaciones </w:t>
      </w:r>
      <w:r w:rsidR="00EC7903" w:rsidRPr="00912847">
        <w:rPr>
          <w:rFonts w:ascii="Verdana" w:hAnsi="Verdana"/>
          <w:sz w:val="20"/>
          <w:szCs w:val="20"/>
        </w:rPr>
        <w:t>interdependientes,</w:t>
      </w:r>
      <w:r w:rsidRPr="00912847">
        <w:rPr>
          <w:rFonts w:ascii="Verdana" w:hAnsi="Verdana"/>
          <w:sz w:val="20"/>
          <w:szCs w:val="20"/>
        </w:rPr>
        <w:t xml:space="preserve"> pero no estarán sujetas a los requerimientos documentales previstos en el presente subnumeral. Sin embargo, las entidades de redescuento deben incluir dicha cartera en el cálculo del FER en los rubros que corresponda.</w:t>
      </w:r>
    </w:p>
    <w:p w14:paraId="5DF8B443" w14:textId="65BA8190" w:rsidR="00C208E7" w:rsidRPr="00964B84" w:rsidRDefault="00C208E7" w:rsidP="00C208E7">
      <w:pPr>
        <w:spacing w:after="0"/>
        <w:rPr>
          <w:rFonts w:ascii="Verdana" w:hAnsi="Verdana"/>
          <w:sz w:val="20"/>
          <w:szCs w:val="20"/>
        </w:rPr>
      </w:pPr>
      <w:r w:rsidRPr="688A6030">
        <w:rPr>
          <w:rFonts w:ascii="Verdana" w:hAnsi="Verdana"/>
          <w:sz w:val="20"/>
          <w:szCs w:val="20"/>
        </w:rPr>
        <w:t>1.1.A12.</w:t>
      </w:r>
      <w:r w:rsidR="1FEA5D7C" w:rsidRPr="688A6030">
        <w:rPr>
          <w:rFonts w:ascii="Verdana" w:hAnsi="Verdana"/>
          <w:sz w:val="20"/>
          <w:szCs w:val="20"/>
        </w:rPr>
        <w:t>4</w:t>
      </w:r>
      <w:r w:rsidR="00702C14">
        <w:rPr>
          <w:rFonts w:ascii="Verdana" w:hAnsi="Verdana"/>
          <w:sz w:val="20"/>
          <w:szCs w:val="20"/>
        </w:rPr>
        <w:t>2</w:t>
      </w:r>
      <w:r w:rsidRPr="688A6030">
        <w:rPr>
          <w:rFonts w:ascii="Verdana" w:hAnsi="Verdana"/>
          <w:sz w:val="20"/>
          <w:szCs w:val="20"/>
        </w:rPr>
        <w:t>.</w:t>
      </w:r>
    </w:p>
    <w:p w14:paraId="07B74BFF" w14:textId="389D18A5" w:rsidR="00912847" w:rsidRPr="00912847" w:rsidRDefault="00912847" w:rsidP="00912847">
      <w:pPr>
        <w:jc w:val="both"/>
        <w:rPr>
          <w:rFonts w:ascii="Verdana" w:hAnsi="Verdana"/>
          <w:sz w:val="20"/>
          <w:szCs w:val="20"/>
        </w:rPr>
      </w:pPr>
      <w:r w:rsidRPr="00912847">
        <w:rPr>
          <w:rFonts w:ascii="Verdana" w:hAnsi="Verdana"/>
          <w:sz w:val="20"/>
          <w:szCs w:val="20"/>
        </w:rPr>
        <w:t>En el cálculo del FER, la entidad debe incluir los instrumentos financieros y divisas sobre las cuales se haya realizado una operación de compra y excluir aquellos sobre los cuales se haya realizado una operación de venta, aun cuando estas no hayan sido registradas en el balance por tener un modelo contable basado en la fecha de liquidación y no en la fecha de realización de la operación. Lo anterior, siempre y cuando dichas operaciones no sean clasificadas como derivados u operaciones del mercado monetario y que los efectos de dichas transacciones queden consignados en el balance de la entidad en la fecha de liquidación de la operación.</w:t>
      </w:r>
    </w:p>
    <w:p w14:paraId="539CD264" w14:textId="662CBF74" w:rsidR="00B62455" w:rsidRPr="00964B84" w:rsidRDefault="00B62455" w:rsidP="00B62455">
      <w:pPr>
        <w:spacing w:after="0"/>
        <w:rPr>
          <w:rFonts w:ascii="Verdana" w:hAnsi="Verdana"/>
          <w:sz w:val="20"/>
          <w:szCs w:val="20"/>
        </w:rPr>
      </w:pPr>
      <w:r w:rsidRPr="688A6030">
        <w:rPr>
          <w:rFonts w:ascii="Verdana" w:hAnsi="Verdana"/>
          <w:sz w:val="20"/>
          <w:szCs w:val="20"/>
        </w:rPr>
        <w:t>1.1.A12.</w:t>
      </w:r>
      <w:r w:rsidR="0994D512" w:rsidRPr="688A6030">
        <w:rPr>
          <w:rFonts w:ascii="Verdana" w:hAnsi="Verdana"/>
          <w:sz w:val="20"/>
          <w:szCs w:val="20"/>
        </w:rPr>
        <w:t>4</w:t>
      </w:r>
      <w:r w:rsidR="00702C14">
        <w:rPr>
          <w:rFonts w:ascii="Verdana" w:hAnsi="Verdana"/>
          <w:sz w:val="20"/>
          <w:szCs w:val="20"/>
        </w:rPr>
        <w:t>3</w:t>
      </w:r>
      <w:r w:rsidRPr="688A6030">
        <w:rPr>
          <w:rFonts w:ascii="Verdana" w:hAnsi="Verdana"/>
          <w:sz w:val="20"/>
          <w:szCs w:val="20"/>
        </w:rPr>
        <w:t>.</w:t>
      </w:r>
    </w:p>
    <w:p w14:paraId="60A679F0" w14:textId="1C0584EA" w:rsidR="00912847" w:rsidRPr="00912847" w:rsidRDefault="00912847" w:rsidP="00912847">
      <w:pPr>
        <w:jc w:val="both"/>
        <w:rPr>
          <w:rFonts w:ascii="Verdana" w:hAnsi="Verdana"/>
          <w:sz w:val="20"/>
          <w:szCs w:val="20"/>
        </w:rPr>
      </w:pPr>
      <w:r w:rsidRPr="4E8FF79E">
        <w:rPr>
          <w:rFonts w:ascii="Verdana" w:hAnsi="Verdana"/>
          <w:sz w:val="20"/>
          <w:szCs w:val="20"/>
        </w:rPr>
        <w:t>Los activos sujetos a restricciones, cualquier tipo de gravamen, medida preventiva o de cualquier naturaleza, que impida su libre cesión o transferencia, durante un periodo igual o mayor a un año recibirán un factor FER del 100%, aquellos sujetos a restricciones durante un periodo de entre seis meses y menos de un año tendrán el mayor factor entre el 50% y el que obtendrían si estuvieran libres de cargas, y finalmente, aquellos sujetos a restricciones durante un periodo inferior a seis meses, se les asignará el factor FER del activo como si estuviera libre de cargas.</w:t>
      </w:r>
    </w:p>
    <w:p w14:paraId="64DFAD8B" w14:textId="6F7E6587" w:rsidR="4E8FF79E" w:rsidRDefault="4E8FF79E" w:rsidP="4E8FF79E">
      <w:pPr>
        <w:jc w:val="both"/>
        <w:rPr>
          <w:rFonts w:ascii="Verdana" w:hAnsi="Verdana"/>
          <w:sz w:val="20"/>
          <w:szCs w:val="20"/>
        </w:rPr>
      </w:pPr>
    </w:p>
    <w:p w14:paraId="1E8DF444" w14:textId="389B6C3F" w:rsidR="00533F2B" w:rsidRPr="00964B84" w:rsidRDefault="00533F2B" w:rsidP="00533F2B">
      <w:pPr>
        <w:spacing w:after="0"/>
        <w:rPr>
          <w:rFonts w:ascii="Verdana" w:hAnsi="Verdana"/>
          <w:sz w:val="20"/>
          <w:szCs w:val="20"/>
        </w:rPr>
      </w:pPr>
      <w:r w:rsidRPr="688A6030">
        <w:rPr>
          <w:rFonts w:ascii="Verdana" w:hAnsi="Verdana"/>
          <w:sz w:val="20"/>
          <w:szCs w:val="20"/>
        </w:rPr>
        <w:lastRenderedPageBreak/>
        <w:t>1.1.A12.</w:t>
      </w:r>
      <w:r w:rsidR="5E109A49" w:rsidRPr="688A6030">
        <w:rPr>
          <w:rFonts w:ascii="Verdana" w:hAnsi="Verdana"/>
          <w:sz w:val="20"/>
          <w:szCs w:val="20"/>
        </w:rPr>
        <w:t>4</w:t>
      </w:r>
      <w:r w:rsidR="00702C14">
        <w:rPr>
          <w:rFonts w:ascii="Verdana" w:hAnsi="Verdana"/>
          <w:sz w:val="20"/>
          <w:szCs w:val="20"/>
        </w:rPr>
        <w:t>4</w:t>
      </w:r>
      <w:r w:rsidRPr="688A6030">
        <w:rPr>
          <w:rFonts w:ascii="Verdana" w:hAnsi="Verdana"/>
          <w:sz w:val="20"/>
          <w:szCs w:val="20"/>
        </w:rPr>
        <w:t>.</w:t>
      </w:r>
    </w:p>
    <w:p w14:paraId="510CB056" w14:textId="77777777" w:rsidR="00912847" w:rsidRPr="00912847" w:rsidRDefault="00912847" w:rsidP="00912847">
      <w:pPr>
        <w:jc w:val="both"/>
        <w:rPr>
          <w:rFonts w:ascii="Verdana" w:hAnsi="Verdana"/>
          <w:sz w:val="20"/>
          <w:szCs w:val="20"/>
        </w:rPr>
      </w:pPr>
      <w:r w:rsidRPr="00912847">
        <w:rPr>
          <w:rFonts w:ascii="Verdana" w:hAnsi="Verdana"/>
          <w:sz w:val="20"/>
          <w:szCs w:val="20"/>
        </w:rPr>
        <w:t>Se deben excluir del cálculo del FER, los activos que hayan sido entregados como garantía en operaciones pasivas de mercado monetario (repos, simultáneas y transferencias temporales de valores). Por su parte, deben incluirse en el cálculo del FER, los activos, títulos o cupones transferidos a la entidad en desarrollo de operaciones activas de mercado monetario realizadas por ésta y que no hayan sido utilizados posteriormente en operaciones pasivas en el mercado monetario. Estos últimos activos, títulos o cupones recibirán un factor FER del 100% si se trata de operaciones de mercado monetario con plazo residual igual o superior a un año, tendrán el mayor factor entre el 50% y el que obtendrían si estuvieran libres de cargas si se trata de operaciones de mercado monetario con plazo residual de entre seis meses y menos de un año, y finalmente, se les asignará el factor FER del activo como si estuviera libre de cargas si se trata de operaciones de mercado monetario con plazo residual inferior a seis meses.</w:t>
      </w:r>
    </w:p>
    <w:p w14:paraId="65A8A0D4" w14:textId="0A2064CD" w:rsidR="002D37FD" w:rsidRPr="00964B84" w:rsidRDefault="002D37FD" w:rsidP="002D37FD">
      <w:pPr>
        <w:spacing w:after="0"/>
        <w:rPr>
          <w:rFonts w:ascii="Verdana" w:hAnsi="Verdana"/>
          <w:sz w:val="20"/>
          <w:szCs w:val="20"/>
        </w:rPr>
      </w:pPr>
      <w:r w:rsidRPr="688A6030">
        <w:rPr>
          <w:rFonts w:ascii="Verdana" w:hAnsi="Verdana"/>
          <w:sz w:val="20"/>
          <w:szCs w:val="20"/>
        </w:rPr>
        <w:t>1.1.A12.</w:t>
      </w:r>
      <w:r w:rsidR="3632D7E1" w:rsidRPr="688A6030">
        <w:rPr>
          <w:rFonts w:ascii="Verdana" w:hAnsi="Verdana"/>
          <w:sz w:val="20"/>
          <w:szCs w:val="20"/>
        </w:rPr>
        <w:t>4</w:t>
      </w:r>
      <w:r w:rsidR="00702C14">
        <w:rPr>
          <w:rFonts w:ascii="Verdana" w:hAnsi="Verdana"/>
          <w:sz w:val="20"/>
          <w:szCs w:val="20"/>
        </w:rPr>
        <w:t>5</w:t>
      </w:r>
      <w:r w:rsidRPr="688A6030">
        <w:rPr>
          <w:rFonts w:ascii="Verdana" w:hAnsi="Verdana"/>
          <w:sz w:val="20"/>
          <w:szCs w:val="20"/>
        </w:rPr>
        <w:t>.</w:t>
      </w:r>
    </w:p>
    <w:p w14:paraId="61EE3600" w14:textId="0A3424C0" w:rsidR="00733ED7" w:rsidRPr="00B36F3B" w:rsidRDefault="00912847" w:rsidP="00733ED7">
      <w:pPr>
        <w:jc w:val="both"/>
        <w:rPr>
          <w:b/>
          <w:sz w:val="18"/>
          <w:szCs w:val="18"/>
        </w:rPr>
      </w:pPr>
      <w:r w:rsidRPr="00912847">
        <w:rPr>
          <w:rFonts w:ascii="Verdana" w:hAnsi="Verdana"/>
          <w:sz w:val="20"/>
          <w:szCs w:val="20"/>
        </w:rPr>
        <w:t xml:space="preserve">Para el cálculo de los rubros de activos que hagan parte de los Activos Líquidos (ALM) según lo estipulado para el IRL, aplicarán las </w:t>
      </w:r>
      <w:r w:rsidRPr="00F904C7">
        <w:rPr>
          <w:rFonts w:ascii="Verdana" w:hAnsi="Verdana"/>
          <w:sz w:val="20"/>
          <w:szCs w:val="20"/>
        </w:rPr>
        <w:t xml:space="preserve">definiciones del </w:t>
      </w:r>
      <w:r w:rsidR="00F904C7" w:rsidRPr="00F904C7">
        <w:rPr>
          <w:rFonts w:ascii="Verdana" w:hAnsi="Verdana"/>
          <w:sz w:val="20"/>
          <w:szCs w:val="20"/>
        </w:rPr>
        <w:t>a</w:t>
      </w:r>
      <w:r w:rsidRPr="00F904C7">
        <w:rPr>
          <w:rFonts w:ascii="Verdana" w:hAnsi="Verdana"/>
          <w:sz w:val="20"/>
          <w:szCs w:val="20"/>
        </w:rPr>
        <w:t xml:space="preserve">nexo 9 </w:t>
      </w:r>
      <w:r w:rsidR="00F904C7" w:rsidRPr="00F904C7">
        <w:rPr>
          <w:rFonts w:ascii="Verdana" w:hAnsi="Verdana"/>
          <w:sz w:val="20"/>
          <w:szCs w:val="20"/>
        </w:rPr>
        <w:t>del presente capítulo.</w:t>
      </w:r>
    </w:p>
    <w:p w14:paraId="5FECC34C" w14:textId="7BE0121A" w:rsidR="00BF2CD0" w:rsidRPr="00964B84" w:rsidRDefault="00BF2CD0" w:rsidP="00BF2CD0">
      <w:pPr>
        <w:spacing w:after="0"/>
        <w:rPr>
          <w:rFonts w:ascii="Verdana" w:hAnsi="Verdana"/>
          <w:sz w:val="20"/>
          <w:szCs w:val="20"/>
        </w:rPr>
      </w:pPr>
      <w:r w:rsidRPr="688A6030">
        <w:rPr>
          <w:rFonts w:ascii="Verdana" w:hAnsi="Verdana"/>
          <w:sz w:val="20"/>
          <w:szCs w:val="20"/>
        </w:rPr>
        <w:t>1.1.A12.</w:t>
      </w:r>
      <w:r w:rsidR="3D00E3F4" w:rsidRPr="688A6030">
        <w:rPr>
          <w:rFonts w:ascii="Verdana" w:hAnsi="Verdana"/>
          <w:sz w:val="20"/>
          <w:szCs w:val="20"/>
        </w:rPr>
        <w:t>4</w:t>
      </w:r>
      <w:r w:rsidR="00702C14">
        <w:rPr>
          <w:rFonts w:ascii="Verdana" w:hAnsi="Verdana"/>
          <w:sz w:val="20"/>
          <w:szCs w:val="20"/>
        </w:rPr>
        <w:t>6</w:t>
      </w:r>
      <w:r w:rsidRPr="688A6030">
        <w:rPr>
          <w:rFonts w:ascii="Verdana" w:hAnsi="Verdana"/>
          <w:sz w:val="20"/>
          <w:szCs w:val="20"/>
        </w:rPr>
        <w:t>.</w:t>
      </w:r>
    </w:p>
    <w:p w14:paraId="17D37F7E" w14:textId="755B530F" w:rsidR="00912847" w:rsidRPr="00912847" w:rsidRDefault="00912847" w:rsidP="00BF2CD0">
      <w:pPr>
        <w:jc w:val="both"/>
        <w:rPr>
          <w:rFonts w:ascii="Verdana" w:hAnsi="Verdana"/>
          <w:sz w:val="20"/>
          <w:szCs w:val="20"/>
        </w:rPr>
      </w:pPr>
      <w:r w:rsidRPr="00912847">
        <w:rPr>
          <w:rFonts w:ascii="Verdana" w:hAnsi="Verdana"/>
          <w:sz w:val="20"/>
          <w:szCs w:val="20"/>
        </w:rPr>
        <w:t>Finalmente, se debe excluir del rubro correspondiente del FER, la porción del valor de los activos que haya sido deducida del Patrimonio Técnico.</w:t>
      </w:r>
    </w:p>
    <w:p w14:paraId="40A1BF5F" w14:textId="111D342D" w:rsidR="00912847" w:rsidRDefault="00912847" w:rsidP="00BF2CD0">
      <w:pPr>
        <w:pStyle w:val="Prrafodelista"/>
        <w:numPr>
          <w:ilvl w:val="0"/>
          <w:numId w:val="15"/>
        </w:numPr>
        <w:ind w:left="284" w:hanging="284"/>
        <w:jc w:val="both"/>
        <w:rPr>
          <w:rFonts w:ascii="Verdana" w:hAnsi="Verdana"/>
          <w:b/>
          <w:sz w:val="20"/>
          <w:szCs w:val="20"/>
        </w:rPr>
      </w:pPr>
      <w:r w:rsidRPr="00BF2CD0">
        <w:rPr>
          <w:rFonts w:ascii="Verdana" w:hAnsi="Verdana"/>
          <w:b/>
          <w:sz w:val="20"/>
          <w:szCs w:val="20"/>
        </w:rPr>
        <w:t>Categorías de activos y posiciones fuera de balance que se incluyen en el FER</w:t>
      </w:r>
    </w:p>
    <w:p w14:paraId="607F7175" w14:textId="5380CD5D" w:rsidR="00392715" w:rsidRPr="00392715" w:rsidRDefault="00392715" w:rsidP="00392715">
      <w:pPr>
        <w:spacing w:after="0"/>
        <w:rPr>
          <w:rFonts w:ascii="Verdana" w:hAnsi="Verdana"/>
          <w:sz w:val="20"/>
          <w:szCs w:val="20"/>
        </w:rPr>
      </w:pPr>
      <w:r w:rsidRPr="00392715">
        <w:rPr>
          <w:rFonts w:ascii="Verdana" w:hAnsi="Verdana"/>
          <w:sz w:val="20"/>
          <w:szCs w:val="20"/>
        </w:rPr>
        <w:t>1.1.A12.</w:t>
      </w:r>
      <w:r w:rsidR="00AA6092">
        <w:rPr>
          <w:rFonts w:ascii="Verdana" w:hAnsi="Verdana"/>
          <w:sz w:val="20"/>
          <w:szCs w:val="20"/>
        </w:rPr>
        <w:t>47</w:t>
      </w:r>
      <w:r w:rsidRPr="00392715">
        <w:rPr>
          <w:rFonts w:ascii="Verdana" w:hAnsi="Verdana"/>
          <w:sz w:val="20"/>
          <w:szCs w:val="20"/>
        </w:rPr>
        <w:t>.</w:t>
      </w:r>
    </w:p>
    <w:p w14:paraId="4621BB31" w14:textId="5EABB0DF" w:rsidR="009B5293" w:rsidRPr="009B5293" w:rsidRDefault="00392715" w:rsidP="009B5293">
      <w:pPr>
        <w:jc w:val="both"/>
        <w:rPr>
          <w:rFonts w:ascii="Verdana" w:hAnsi="Verdana"/>
          <w:b/>
          <w:sz w:val="20"/>
          <w:szCs w:val="20"/>
        </w:rPr>
      </w:pPr>
      <w:r w:rsidRPr="00392715">
        <w:rPr>
          <w:rFonts w:ascii="Verdana" w:hAnsi="Verdana"/>
          <w:sz w:val="20"/>
          <w:szCs w:val="20"/>
        </w:rPr>
        <w:t xml:space="preserve">A continuación se establecen los rubros que componen el fondeo estable </w:t>
      </w:r>
      <w:r w:rsidR="0011519B">
        <w:rPr>
          <w:rFonts w:ascii="Verdana" w:hAnsi="Verdana"/>
          <w:sz w:val="20"/>
          <w:szCs w:val="20"/>
        </w:rPr>
        <w:t xml:space="preserve">requerido </w:t>
      </w:r>
      <w:r w:rsidRPr="00392715">
        <w:rPr>
          <w:rFonts w:ascii="Verdana" w:hAnsi="Verdana"/>
          <w:sz w:val="20"/>
          <w:szCs w:val="20"/>
        </w:rPr>
        <w:t>(FE</w:t>
      </w:r>
      <w:r w:rsidR="0011519B">
        <w:rPr>
          <w:rFonts w:ascii="Verdana" w:hAnsi="Verdana"/>
          <w:sz w:val="20"/>
          <w:szCs w:val="20"/>
        </w:rPr>
        <w:t>R</w:t>
      </w:r>
      <w:r w:rsidRPr="00392715">
        <w:rPr>
          <w:rFonts w:ascii="Verdana" w:hAnsi="Verdana"/>
          <w:sz w:val="20"/>
          <w:szCs w:val="20"/>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919"/>
        <w:gridCol w:w="1015"/>
      </w:tblGrid>
      <w:tr w:rsidR="00912847" w:rsidRPr="00912847" w14:paraId="43C49360" w14:textId="77777777" w:rsidTr="00B85046">
        <w:trPr>
          <w:trHeight w:val="300"/>
          <w:tblHeader/>
        </w:trPr>
        <w:tc>
          <w:tcPr>
            <w:tcW w:w="8818" w:type="dxa"/>
            <w:gridSpan w:val="3"/>
            <w:shd w:val="clear" w:color="auto" w:fill="D1D1D1" w:themeFill="background2" w:themeFillShade="E6"/>
            <w:noWrap/>
            <w:vAlign w:val="center"/>
            <w:hideMark/>
          </w:tcPr>
          <w:p w14:paraId="217C9749" w14:textId="330EC852" w:rsidR="00912847" w:rsidRPr="00BF2CD0" w:rsidRDefault="00912847" w:rsidP="00BF2CD0">
            <w:pPr>
              <w:spacing w:after="0" w:line="240" w:lineRule="auto"/>
              <w:jc w:val="center"/>
              <w:rPr>
                <w:rFonts w:ascii="Verdana" w:eastAsia="Times New Roman" w:hAnsi="Verdana" w:cs="Arial"/>
                <w:b/>
                <w:bCs/>
                <w:color w:val="000000"/>
                <w:kern w:val="0"/>
                <w:sz w:val="16"/>
                <w:szCs w:val="16"/>
                <w:lang w:eastAsia="es-CO"/>
                <w14:ligatures w14:val="none"/>
              </w:rPr>
            </w:pPr>
            <w:r w:rsidRPr="00BF2CD0">
              <w:rPr>
                <w:rFonts w:ascii="Verdana" w:eastAsia="Times New Roman" w:hAnsi="Verdana" w:cs="Arial"/>
                <w:b/>
                <w:bCs/>
                <w:color w:val="000000"/>
                <w:kern w:val="0"/>
                <w:sz w:val="16"/>
                <w:szCs w:val="16"/>
                <w:lang w:eastAsia="es-CO"/>
                <w14:ligatures w14:val="none"/>
              </w:rPr>
              <w:t xml:space="preserve">FONDEO ESTABLE REQUERIDO </w:t>
            </w:r>
            <w:r w:rsidR="0011519B">
              <w:rPr>
                <w:rFonts w:ascii="Verdana" w:eastAsia="Times New Roman" w:hAnsi="Verdana" w:cs="Arial"/>
                <w:b/>
                <w:bCs/>
                <w:color w:val="000000"/>
                <w:kern w:val="0"/>
                <w:sz w:val="16"/>
                <w:szCs w:val="16"/>
                <w:lang w:eastAsia="es-CO"/>
                <w14:ligatures w14:val="none"/>
              </w:rPr>
              <w:t>(</w:t>
            </w:r>
            <w:r w:rsidRPr="00BF2CD0">
              <w:rPr>
                <w:rFonts w:ascii="Verdana" w:eastAsia="Times New Roman" w:hAnsi="Verdana" w:cs="Arial"/>
                <w:b/>
                <w:bCs/>
                <w:color w:val="000000"/>
                <w:kern w:val="0"/>
                <w:sz w:val="16"/>
                <w:szCs w:val="16"/>
                <w:lang w:eastAsia="es-CO"/>
                <w14:ligatures w14:val="none"/>
              </w:rPr>
              <w:t>FER</w:t>
            </w:r>
            <w:r w:rsidR="0011519B">
              <w:rPr>
                <w:rFonts w:ascii="Verdana" w:eastAsia="Times New Roman" w:hAnsi="Verdana" w:cs="Arial"/>
                <w:b/>
                <w:bCs/>
                <w:color w:val="000000"/>
                <w:kern w:val="0"/>
                <w:sz w:val="16"/>
                <w:szCs w:val="16"/>
                <w:lang w:eastAsia="es-CO"/>
                <w14:ligatures w14:val="none"/>
              </w:rPr>
              <w:t>)</w:t>
            </w:r>
          </w:p>
        </w:tc>
      </w:tr>
      <w:tr w:rsidR="00912847" w:rsidRPr="00912847" w14:paraId="551D6A40" w14:textId="77777777" w:rsidTr="00B85046">
        <w:trPr>
          <w:trHeight w:val="300"/>
          <w:tblHeader/>
        </w:trPr>
        <w:tc>
          <w:tcPr>
            <w:tcW w:w="884" w:type="dxa"/>
            <w:shd w:val="clear" w:color="auto" w:fill="D1D1D1" w:themeFill="background2" w:themeFillShade="E6"/>
            <w:noWrap/>
            <w:vAlign w:val="center"/>
            <w:hideMark/>
          </w:tcPr>
          <w:p w14:paraId="6756AB21" w14:textId="77777777" w:rsidR="00912847" w:rsidRPr="00BF2CD0" w:rsidRDefault="00912847" w:rsidP="00BF2CD0">
            <w:pPr>
              <w:spacing w:after="0" w:line="240" w:lineRule="auto"/>
              <w:jc w:val="center"/>
              <w:rPr>
                <w:rFonts w:ascii="Verdana" w:eastAsia="Times New Roman" w:hAnsi="Verdana" w:cs="Arial"/>
                <w:b/>
                <w:bCs/>
                <w:color w:val="000000"/>
                <w:kern w:val="0"/>
                <w:sz w:val="16"/>
                <w:szCs w:val="16"/>
                <w:lang w:eastAsia="es-CO"/>
                <w14:ligatures w14:val="none"/>
              </w:rPr>
            </w:pPr>
            <w:r w:rsidRPr="00BF2CD0">
              <w:rPr>
                <w:rFonts w:ascii="Verdana" w:eastAsia="Times New Roman" w:hAnsi="Verdana" w:cs="Arial"/>
                <w:b/>
                <w:bCs/>
                <w:color w:val="000000"/>
                <w:kern w:val="0"/>
                <w:sz w:val="16"/>
                <w:szCs w:val="16"/>
                <w:lang w:eastAsia="es-CO"/>
                <w14:ligatures w14:val="none"/>
              </w:rPr>
              <w:t>Rubro</w:t>
            </w:r>
          </w:p>
        </w:tc>
        <w:tc>
          <w:tcPr>
            <w:tcW w:w="6919" w:type="dxa"/>
            <w:shd w:val="clear" w:color="auto" w:fill="D1D1D1" w:themeFill="background2" w:themeFillShade="E6"/>
            <w:noWrap/>
            <w:vAlign w:val="center"/>
            <w:hideMark/>
          </w:tcPr>
          <w:p w14:paraId="02F0085A" w14:textId="77777777" w:rsidR="00912847" w:rsidRPr="00BF2CD0" w:rsidRDefault="00912847" w:rsidP="00BF2CD0">
            <w:pPr>
              <w:spacing w:after="0" w:line="240" w:lineRule="auto"/>
              <w:jc w:val="center"/>
              <w:rPr>
                <w:rFonts w:ascii="Verdana" w:eastAsia="Times New Roman" w:hAnsi="Verdana" w:cs="Arial"/>
                <w:b/>
                <w:bCs/>
                <w:color w:val="000000"/>
                <w:kern w:val="0"/>
                <w:sz w:val="16"/>
                <w:szCs w:val="16"/>
                <w:lang w:eastAsia="es-CO"/>
                <w14:ligatures w14:val="none"/>
              </w:rPr>
            </w:pPr>
            <w:r w:rsidRPr="00BF2CD0">
              <w:rPr>
                <w:rFonts w:ascii="Verdana" w:eastAsia="Times New Roman" w:hAnsi="Verdana" w:cs="Arial"/>
                <w:b/>
                <w:bCs/>
                <w:color w:val="000000"/>
                <w:kern w:val="0"/>
                <w:sz w:val="16"/>
                <w:szCs w:val="16"/>
                <w:lang w:eastAsia="es-CO"/>
                <w14:ligatures w14:val="none"/>
              </w:rPr>
              <w:t>Concepto</w:t>
            </w:r>
          </w:p>
        </w:tc>
        <w:tc>
          <w:tcPr>
            <w:tcW w:w="1015" w:type="dxa"/>
            <w:shd w:val="clear" w:color="auto" w:fill="D1D1D1" w:themeFill="background2" w:themeFillShade="E6"/>
            <w:vAlign w:val="center"/>
            <w:hideMark/>
          </w:tcPr>
          <w:p w14:paraId="4D7D25BC" w14:textId="77777777" w:rsidR="00912847" w:rsidRPr="00BF2CD0" w:rsidRDefault="00912847" w:rsidP="00BF2CD0">
            <w:pPr>
              <w:spacing w:after="0" w:line="240" w:lineRule="auto"/>
              <w:jc w:val="center"/>
              <w:rPr>
                <w:rFonts w:ascii="Verdana" w:eastAsia="Times New Roman" w:hAnsi="Verdana" w:cs="Arial"/>
                <w:b/>
                <w:bCs/>
                <w:color w:val="000000"/>
                <w:kern w:val="0"/>
                <w:sz w:val="16"/>
                <w:szCs w:val="16"/>
                <w:lang w:eastAsia="es-CO"/>
                <w14:ligatures w14:val="none"/>
              </w:rPr>
            </w:pPr>
            <w:r w:rsidRPr="00BF2CD0">
              <w:rPr>
                <w:rFonts w:ascii="Verdana" w:eastAsia="Times New Roman" w:hAnsi="Verdana" w:cs="Arial"/>
                <w:b/>
                <w:bCs/>
                <w:color w:val="000000"/>
                <w:kern w:val="0"/>
                <w:sz w:val="16"/>
                <w:szCs w:val="16"/>
                <w:lang w:eastAsia="es-CO"/>
                <w14:ligatures w14:val="none"/>
              </w:rPr>
              <w:t>Factor</w:t>
            </w:r>
          </w:p>
        </w:tc>
      </w:tr>
      <w:tr w:rsidR="00912847" w:rsidRPr="00912847" w14:paraId="36A5220E" w14:textId="77777777" w:rsidTr="009F6849">
        <w:trPr>
          <w:trHeight w:val="300"/>
        </w:trPr>
        <w:tc>
          <w:tcPr>
            <w:tcW w:w="884" w:type="dxa"/>
            <w:vAlign w:val="center"/>
            <w:hideMark/>
          </w:tcPr>
          <w:p w14:paraId="6481F8A2"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46</w:t>
            </w:r>
          </w:p>
        </w:tc>
        <w:tc>
          <w:tcPr>
            <w:tcW w:w="6919" w:type="dxa"/>
            <w:vAlign w:val="center"/>
            <w:hideMark/>
          </w:tcPr>
          <w:p w14:paraId="692C4174"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Efectivo</w:t>
            </w:r>
          </w:p>
        </w:tc>
        <w:tc>
          <w:tcPr>
            <w:tcW w:w="1015" w:type="dxa"/>
            <w:vAlign w:val="center"/>
            <w:hideMark/>
          </w:tcPr>
          <w:p w14:paraId="61D800D7"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0%</w:t>
            </w:r>
          </w:p>
        </w:tc>
      </w:tr>
      <w:tr w:rsidR="00912847" w:rsidRPr="00912847" w14:paraId="1FA5339B" w14:textId="77777777" w:rsidTr="009F6849">
        <w:trPr>
          <w:trHeight w:val="300"/>
        </w:trPr>
        <w:tc>
          <w:tcPr>
            <w:tcW w:w="884" w:type="dxa"/>
            <w:vAlign w:val="center"/>
            <w:hideMark/>
          </w:tcPr>
          <w:p w14:paraId="781846C7"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47</w:t>
            </w:r>
          </w:p>
        </w:tc>
        <w:tc>
          <w:tcPr>
            <w:tcW w:w="6919" w:type="dxa"/>
            <w:vAlign w:val="center"/>
            <w:hideMark/>
          </w:tcPr>
          <w:p w14:paraId="56603C60"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Encaje</w:t>
            </w:r>
          </w:p>
        </w:tc>
        <w:tc>
          <w:tcPr>
            <w:tcW w:w="1015" w:type="dxa"/>
            <w:vAlign w:val="center"/>
            <w:hideMark/>
          </w:tcPr>
          <w:p w14:paraId="44F900EC"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0%</w:t>
            </w:r>
          </w:p>
        </w:tc>
      </w:tr>
      <w:tr w:rsidR="00912847" w:rsidRPr="00912847" w14:paraId="14263C28" w14:textId="77777777" w:rsidTr="009F6849">
        <w:trPr>
          <w:trHeight w:val="300"/>
        </w:trPr>
        <w:tc>
          <w:tcPr>
            <w:tcW w:w="884" w:type="dxa"/>
            <w:vAlign w:val="center"/>
            <w:hideMark/>
          </w:tcPr>
          <w:p w14:paraId="1FB97AEE"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48</w:t>
            </w:r>
          </w:p>
        </w:tc>
        <w:tc>
          <w:tcPr>
            <w:tcW w:w="6919" w:type="dxa"/>
            <w:vAlign w:val="center"/>
            <w:hideMark/>
          </w:tcPr>
          <w:p w14:paraId="29ADCA17"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ALAC sin efectivo y encaje</w:t>
            </w:r>
          </w:p>
        </w:tc>
        <w:tc>
          <w:tcPr>
            <w:tcW w:w="1015" w:type="dxa"/>
            <w:vAlign w:val="center"/>
            <w:hideMark/>
          </w:tcPr>
          <w:p w14:paraId="0B2E8EBA"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w:t>
            </w:r>
          </w:p>
        </w:tc>
      </w:tr>
      <w:tr w:rsidR="00912847" w:rsidRPr="00912847" w14:paraId="4FB62C97" w14:textId="77777777" w:rsidTr="009F6849">
        <w:trPr>
          <w:trHeight w:val="300"/>
        </w:trPr>
        <w:tc>
          <w:tcPr>
            <w:tcW w:w="884" w:type="dxa"/>
            <w:vAlign w:val="center"/>
            <w:hideMark/>
          </w:tcPr>
          <w:p w14:paraId="19DE820E"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49</w:t>
            </w:r>
          </w:p>
        </w:tc>
        <w:tc>
          <w:tcPr>
            <w:tcW w:w="6919" w:type="dxa"/>
            <w:vAlign w:val="center"/>
            <w:hideMark/>
          </w:tcPr>
          <w:p w14:paraId="08301D6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Otros activos líquidos con calificación crediticia de largo plazo AA- o superior o de corto plazo grado de inversión</w:t>
            </w:r>
          </w:p>
        </w:tc>
        <w:tc>
          <w:tcPr>
            <w:tcW w:w="1015" w:type="dxa"/>
            <w:vAlign w:val="center"/>
            <w:hideMark/>
          </w:tcPr>
          <w:p w14:paraId="38E54C8A"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15%</w:t>
            </w:r>
          </w:p>
        </w:tc>
      </w:tr>
      <w:tr w:rsidR="00912847" w:rsidRPr="00912847" w14:paraId="4A619B6B" w14:textId="77777777" w:rsidTr="009F6849">
        <w:trPr>
          <w:trHeight w:val="300"/>
        </w:trPr>
        <w:tc>
          <w:tcPr>
            <w:tcW w:w="884" w:type="dxa"/>
            <w:vAlign w:val="center"/>
            <w:hideMark/>
          </w:tcPr>
          <w:p w14:paraId="1AD96A42"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50</w:t>
            </w:r>
          </w:p>
        </w:tc>
        <w:tc>
          <w:tcPr>
            <w:tcW w:w="6919" w:type="dxa"/>
            <w:vAlign w:val="center"/>
            <w:hideMark/>
          </w:tcPr>
          <w:p w14:paraId="21CE31CE"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Otros activos líquidos con calificación crediticia de largo plazo A+ o inferior o de corto plazo grado especulativo o sin calificación</w:t>
            </w:r>
          </w:p>
        </w:tc>
        <w:tc>
          <w:tcPr>
            <w:tcW w:w="1015" w:type="dxa"/>
            <w:vAlign w:val="center"/>
            <w:hideMark/>
          </w:tcPr>
          <w:p w14:paraId="7E597EC7"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50%</w:t>
            </w:r>
          </w:p>
        </w:tc>
      </w:tr>
      <w:tr w:rsidR="00912847" w:rsidRPr="00912847" w14:paraId="5ED6572D" w14:textId="77777777" w:rsidTr="009F6849">
        <w:trPr>
          <w:trHeight w:val="300"/>
        </w:trPr>
        <w:tc>
          <w:tcPr>
            <w:tcW w:w="884" w:type="dxa"/>
            <w:vAlign w:val="center"/>
            <w:hideMark/>
          </w:tcPr>
          <w:p w14:paraId="1D942CE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51</w:t>
            </w:r>
          </w:p>
        </w:tc>
        <w:tc>
          <w:tcPr>
            <w:tcW w:w="6919" w:type="dxa"/>
            <w:vAlign w:val="center"/>
            <w:hideMark/>
          </w:tcPr>
          <w:p w14:paraId="588BED11"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con entidades vigiladas con plazo menor a 6 meses y cuya garantía sean títulos emitidos o respaldados por la Nación</w:t>
            </w:r>
          </w:p>
        </w:tc>
        <w:tc>
          <w:tcPr>
            <w:tcW w:w="1015" w:type="dxa"/>
            <w:vAlign w:val="center"/>
            <w:hideMark/>
          </w:tcPr>
          <w:p w14:paraId="0B1279C6"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w:t>
            </w:r>
          </w:p>
        </w:tc>
      </w:tr>
      <w:tr w:rsidR="00912847" w:rsidRPr="00912847" w14:paraId="3F843055" w14:textId="77777777" w:rsidTr="009F6849">
        <w:trPr>
          <w:trHeight w:val="300"/>
        </w:trPr>
        <w:tc>
          <w:tcPr>
            <w:tcW w:w="884" w:type="dxa"/>
            <w:vAlign w:val="center"/>
            <w:hideMark/>
          </w:tcPr>
          <w:p w14:paraId="5FDB46A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52</w:t>
            </w:r>
          </w:p>
        </w:tc>
        <w:tc>
          <w:tcPr>
            <w:tcW w:w="6919" w:type="dxa"/>
            <w:vAlign w:val="center"/>
            <w:hideMark/>
          </w:tcPr>
          <w:p w14:paraId="7A32E87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con entidades vigiladas con plazo menor a 6 meses y garantía diferente a títulos emitidos o respaldados por la nación o sin garantía</w:t>
            </w:r>
          </w:p>
        </w:tc>
        <w:tc>
          <w:tcPr>
            <w:tcW w:w="1015" w:type="dxa"/>
            <w:vAlign w:val="center"/>
            <w:hideMark/>
          </w:tcPr>
          <w:p w14:paraId="0E0DB923"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15%</w:t>
            </w:r>
          </w:p>
        </w:tc>
      </w:tr>
      <w:tr w:rsidR="00912847" w:rsidRPr="00912847" w14:paraId="6643A7B8" w14:textId="77777777" w:rsidTr="009F6849">
        <w:trPr>
          <w:trHeight w:val="300"/>
        </w:trPr>
        <w:tc>
          <w:tcPr>
            <w:tcW w:w="884" w:type="dxa"/>
            <w:vAlign w:val="center"/>
            <w:hideMark/>
          </w:tcPr>
          <w:p w14:paraId="4D3F04B2"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53</w:t>
            </w:r>
          </w:p>
        </w:tc>
        <w:tc>
          <w:tcPr>
            <w:tcW w:w="6919" w:type="dxa"/>
            <w:vAlign w:val="center"/>
            <w:hideMark/>
          </w:tcPr>
          <w:p w14:paraId="05A3F603"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con entidades vigiladas con plazo mayor o igual a 6 meses y menor a 1 año</w:t>
            </w:r>
          </w:p>
        </w:tc>
        <w:tc>
          <w:tcPr>
            <w:tcW w:w="1015" w:type="dxa"/>
            <w:vAlign w:val="center"/>
            <w:hideMark/>
          </w:tcPr>
          <w:p w14:paraId="7E21804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50%</w:t>
            </w:r>
          </w:p>
        </w:tc>
      </w:tr>
      <w:tr w:rsidR="00912847" w:rsidRPr="00912847" w14:paraId="0FD395C8" w14:textId="77777777" w:rsidTr="009F6849">
        <w:trPr>
          <w:trHeight w:val="480"/>
        </w:trPr>
        <w:tc>
          <w:tcPr>
            <w:tcW w:w="884" w:type="dxa"/>
            <w:vAlign w:val="center"/>
            <w:hideMark/>
          </w:tcPr>
          <w:p w14:paraId="4C861C07"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54</w:t>
            </w:r>
          </w:p>
        </w:tc>
        <w:tc>
          <w:tcPr>
            <w:tcW w:w="6919" w:type="dxa"/>
            <w:vAlign w:val="center"/>
            <w:hideMark/>
          </w:tcPr>
          <w:p w14:paraId="4FEE1EBF"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con personas naturales y jurídicas (no vigiladas) con plazo menor a 1 año, que no esté incluida en las demás categorías de cartera con plazo menor a 1 año</w:t>
            </w:r>
          </w:p>
        </w:tc>
        <w:tc>
          <w:tcPr>
            <w:tcW w:w="1015" w:type="dxa"/>
            <w:vAlign w:val="center"/>
            <w:hideMark/>
          </w:tcPr>
          <w:p w14:paraId="7D1E55EE"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50%</w:t>
            </w:r>
          </w:p>
        </w:tc>
      </w:tr>
      <w:tr w:rsidR="00912847" w:rsidRPr="00912847" w14:paraId="68E4EDB4" w14:textId="77777777" w:rsidTr="009F6849">
        <w:trPr>
          <w:trHeight w:val="300"/>
        </w:trPr>
        <w:tc>
          <w:tcPr>
            <w:tcW w:w="884" w:type="dxa"/>
            <w:vAlign w:val="center"/>
            <w:hideMark/>
          </w:tcPr>
          <w:p w14:paraId="4325D91F"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55</w:t>
            </w:r>
          </w:p>
        </w:tc>
        <w:tc>
          <w:tcPr>
            <w:tcW w:w="6919" w:type="dxa"/>
            <w:vAlign w:val="center"/>
            <w:hideMark/>
          </w:tcPr>
          <w:p w14:paraId="1E074E55" w14:textId="2498984B"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de Vivienda con plazo mayor o igual a 1 año y que tenga una ponderación en los APNR del 35% o menor</w:t>
            </w:r>
          </w:p>
        </w:tc>
        <w:tc>
          <w:tcPr>
            <w:tcW w:w="1015" w:type="dxa"/>
            <w:vAlign w:val="center"/>
            <w:hideMark/>
          </w:tcPr>
          <w:p w14:paraId="1954E514"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65%</w:t>
            </w:r>
          </w:p>
        </w:tc>
      </w:tr>
      <w:tr w:rsidR="00912847" w:rsidRPr="00912847" w14:paraId="732392E3" w14:textId="77777777" w:rsidTr="009F6849">
        <w:trPr>
          <w:trHeight w:val="480"/>
        </w:trPr>
        <w:tc>
          <w:tcPr>
            <w:tcW w:w="884" w:type="dxa"/>
            <w:vAlign w:val="center"/>
            <w:hideMark/>
          </w:tcPr>
          <w:p w14:paraId="3180107F"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56</w:t>
            </w:r>
          </w:p>
        </w:tc>
        <w:tc>
          <w:tcPr>
            <w:tcW w:w="6919" w:type="dxa"/>
            <w:vAlign w:val="center"/>
            <w:hideMark/>
          </w:tcPr>
          <w:p w14:paraId="1905A684" w14:textId="0D1733D1"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diferente a vivienda con personas naturales y jurídicas (no vigiladas) con plazo mayor o igual a 1 año y que tenga una ponderación en los APNR del 35% o menor</w:t>
            </w:r>
          </w:p>
        </w:tc>
        <w:tc>
          <w:tcPr>
            <w:tcW w:w="1015" w:type="dxa"/>
            <w:vAlign w:val="center"/>
            <w:hideMark/>
          </w:tcPr>
          <w:p w14:paraId="08D1C948"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65%</w:t>
            </w:r>
          </w:p>
        </w:tc>
      </w:tr>
      <w:tr w:rsidR="00912847" w:rsidRPr="00912847" w14:paraId="4BBE1BEB" w14:textId="77777777" w:rsidTr="009F6849">
        <w:trPr>
          <w:trHeight w:val="480"/>
        </w:trPr>
        <w:tc>
          <w:tcPr>
            <w:tcW w:w="884" w:type="dxa"/>
            <w:vAlign w:val="center"/>
            <w:hideMark/>
          </w:tcPr>
          <w:p w14:paraId="36C71676"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57</w:t>
            </w:r>
          </w:p>
        </w:tc>
        <w:tc>
          <w:tcPr>
            <w:tcW w:w="6919" w:type="dxa"/>
            <w:vAlign w:val="center"/>
            <w:hideMark/>
          </w:tcPr>
          <w:p w14:paraId="0EB57A6C"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con personas naturales y jurídicas (no vigiladas) con plazo mayor o igual a 1 año, que no esté incluida en las demás categorías de cartera con plazo mayor o igual a 1 año</w:t>
            </w:r>
          </w:p>
        </w:tc>
        <w:tc>
          <w:tcPr>
            <w:tcW w:w="1015" w:type="dxa"/>
            <w:vAlign w:val="center"/>
            <w:hideMark/>
          </w:tcPr>
          <w:p w14:paraId="632634A2"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85%</w:t>
            </w:r>
          </w:p>
        </w:tc>
      </w:tr>
      <w:tr w:rsidR="00912847" w:rsidRPr="00912847" w14:paraId="77BE2696" w14:textId="77777777" w:rsidTr="009F6849">
        <w:trPr>
          <w:trHeight w:val="300"/>
        </w:trPr>
        <w:tc>
          <w:tcPr>
            <w:tcW w:w="884" w:type="dxa"/>
            <w:vAlign w:val="center"/>
            <w:hideMark/>
          </w:tcPr>
          <w:p w14:paraId="5741E3E1"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58</w:t>
            </w:r>
          </w:p>
        </w:tc>
        <w:tc>
          <w:tcPr>
            <w:tcW w:w="6919" w:type="dxa"/>
            <w:vAlign w:val="center"/>
            <w:hideMark/>
          </w:tcPr>
          <w:p w14:paraId="15D022F4"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Vencida (mora mayor a 30 días)</w:t>
            </w:r>
          </w:p>
        </w:tc>
        <w:tc>
          <w:tcPr>
            <w:tcW w:w="1015" w:type="dxa"/>
            <w:vAlign w:val="center"/>
            <w:hideMark/>
          </w:tcPr>
          <w:p w14:paraId="6CD9B9EA"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100%</w:t>
            </w:r>
          </w:p>
        </w:tc>
      </w:tr>
      <w:tr w:rsidR="00912847" w:rsidRPr="00912847" w14:paraId="671B0F29" w14:textId="77777777" w:rsidTr="009F6849">
        <w:trPr>
          <w:trHeight w:val="300"/>
        </w:trPr>
        <w:tc>
          <w:tcPr>
            <w:tcW w:w="884" w:type="dxa"/>
            <w:vAlign w:val="center"/>
            <w:hideMark/>
          </w:tcPr>
          <w:p w14:paraId="54DB4DF0"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59</w:t>
            </w:r>
          </w:p>
        </w:tc>
        <w:tc>
          <w:tcPr>
            <w:tcW w:w="6919" w:type="dxa"/>
            <w:vAlign w:val="center"/>
            <w:hideMark/>
          </w:tcPr>
          <w:p w14:paraId="7C49DD5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Cartera con entidades vigiladas con plazo mayor o igual a 1 año</w:t>
            </w:r>
          </w:p>
        </w:tc>
        <w:tc>
          <w:tcPr>
            <w:tcW w:w="1015" w:type="dxa"/>
            <w:vAlign w:val="center"/>
            <w:hideMark/>
          </w:tcPr>
          <w:p w14:paraId="38BDDED9"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100%</w:t>
            </w:r>
          </w:p>
        </w:tc>
      </w:tr>
      <w:tr w:rsidR="00912847" w:rsidRPr="00912847" w14:paraId="57BA1AC7" w14:textId="77777777" w:rsidTr="009F6849">
        <w:trPr>
          <w:trHeight w:val="300"/>
        </w:trPr>
        <w:tc>
          <w:tcPr>
            <w:tcW w:w="884" w:type="dxa"/>
            <w:vAlign w:val="center"/>
            <w:hideMark/>
          </w:tcPr>
          <w:p w14:paraId="14217A0E"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60</w:t>
            </w:r>
          </w:p>
        </w:tc>
        <w:tc>
          <w:tcPr>
            <w:tcW w:w="6919" w:type="dxa"/>
            <w:vAlign w:val="center"/>
            <w:hideMark/>
          </w:tcPr>
          <w:p w14:paraId="63541C9D"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Acciones líquidas</w:t>
            </w:r>
          </w:p>
        </w:tc>
        <w:tc>
          <w:tcPr>
            <w:tcW w:w="1015" w:type="dxa"/>
            <w:vAlign w:val="center"/>
            <w:hideMark/>
          </w:tcPr>
          <w:p w14:paraId="2CDA8F59"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85%</w:t>
            </w:r>
          </w:p>
        </w:tc>
      </w:tr>
      <w:tr w:rsidR="00912847" w:rsidRPr="00912847" w14:paraId="5893804A" w14:textId="77777777" w:rsidTr="009F6849">
        <w:trPr>
          <w:trHeight w:val="300"/>
        </w:trPr>
        <w:tc>
          <w:tcPr>
            <w:tcW w:w="884" w:type="dxa"/>
            <w:vAlign w:val="center"/>
            <w:hideMark/>
          </w:tcPr>
          <w:p w14:paraId="19A22F25"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61</w:t>
            </w:r>
          </w:p>
        </w:tc>
        <w:tc>
          <w:tcPr>
            <w:tcW w:w="6919" w:type="dxa"/>
            <w:vAlign w:val="center"/>
            <w:hideMark/>
          </w:tcPr>
          <w:p w14:paraId="7DF752AA"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Acciones no líquidas (incluyendo participaciones en subordinadas)</w:t>
            </w:r>
          </w:p>
        </w:tc>
        <w:tc>
          <w:tcPr>
            <w:tcW w:w="1015" w:type="dxa"/>
            <w:vAlign w:val="center"/>
            <w:hideMark/>
          </w:tcPr>
          <w:p w14:paraId="142B34C1"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100%</w:t>
            </w:r>
          </w:p>
        </w:tc>
      </w:tr>
      <w:tr w:rsidR="00912847" w:rsidRPr="00912847" w14:paraId="0D6F79BE" w14:textId="77777777" w:rsidTr="009F6849">
        <w:trPr>
          <w:trHeight w:val="480"/>
        </w:trPr>
        <w:tc>
          <w:tcPr>
            <w:tcW w:w="884" w:type="dxa"/>
            <w:vAlign w:val="center"/>
            <w:hideMark/>
          </w:tcPr>
          <w:p w14:paraId="2DAD8F38"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62</w:t>
            </w:r>
          </w:p>
        </w:tc>
        <w:tc>
          <w:tcPr>
            <w:tcW w:w="6919" w:type="dxa"/>
            <w:vAlign w:val="center"/>
            <w:hideMark/>
          </w:tcPr>
          <w:p w14:paraId="765C263E"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Activos con características de ALM en garantía en operaciones de mercado monetario con plazo mayor o igual a 6 meses y menor a 1 año</w:t>
            </w:r>
          </w:p>
        </w:tc>
        <w:tc>
          <w:tcPr>
            <w:tcW w:w="1015" w:type="dxa"/>
            <w:vAlign w:val="center"/>
            <w:hideMark/>
          </w:tcPr>
          <w:p w14:paraId="4833FCA1"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50%</w:t>
            </w:r>
          </w:p>
        </w:tc>
      </w:tr>
      <w:tr w:rsidR="00912847" w:rsidRPr="00912847" w14:paraId="725F6F48" w14:textId="77777777" w:rsidTr="009F6849">
        <w:trPr>
          <w:trHeight w:val="300"/>
        </w:trPr>
        <w:tc>
          <w:tcPr>
            <w:tcW w:w="884" w:type="dxa"/>
            <w:vAlign w:val="center"/>
            <w:hideMark/>
          </w:tcPr>
          <w:p w14:paraId="089E2BE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63</w:t>
            </w:r>
          </w:p>
        </w:tc>
        <w:tc>
          <w:tcPr>
            <w:tcW w:w="6919" w:type="dxa"/>
            <w:vAlign w:val="center"/>
            <w:hideMark/>
          </w:tcPr>
          <w:p w14:paraId="37078B32"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Activos sujetos a cargas durante un periodo igual o superior a un año</w:t>
            </w:r>
          </w:p>
        </w:tc>
        <w:tc>
          <w:tcPr>
            <w:tcW w:w="1015" w:type="dxa"/>
            <w:vAlign w:val="center"/>
            <w:hideMark/>
          </w:tcPr>
          <w:p w14:paraId="3773D92D"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100%</w:t>
            </w:r>
          </w:p>
        </w:tc>
      </w:tr>
      <w:tr w:rsidR="00912847" w:rsidRPr="00912847" w14:paraId="394F2500" w14:textId="77777777" w:rsidTr="009F6849">
        <w:trPr>
          <w:trHeight w:val="300"/>
        </w:trPr>
        <w:tc>
          <w:tcPr>
            <w:tcW w:w="884" w:type="dxa"/>
            <w:vAlign w:val="center"/>
            <w:hideMark/>
          </w:tcPr>
          <w:p w14:paraId="523D187D"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64</w:t>
            </w:r>
          </w:p>
        </w:tc>
        <w:tc>
          <w:tcPr>
            <w:tcW w:w="6919" w:type="dxa"/>
            <w:vAlign w:val="center"/>
            <w:hideMark/>
          </w:tcPr>
          <w:p w14:paraId="0CE14CA7"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Otros activos no englobados en categorías anteriores</w:t>
            </w:r>
          </w:p>
        </w:tc>
        <w:tc>
          <w:tcPr>
            <w:tcW w:w="1015" w:type="dxa"/>
            <w:vAlign w:val="center"/>
            <w:hideMark/>
          </w:tcPr>
          <w:p w14:paraId="3A4662F5"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100%</w:t>
            </w:r>
          </w:p>
        </w:tc>
      </w:tr>
      <w:tr w:rsidR="00912847" w:rsidRPr="00912847" w14:paraId="46319243" w14:textId="77777777" w:rsidTr="009F6849">
        <w:trPr>
          <w:trHeight w:val="300"/>
        </w:trPr>
        <w:tc>
          <w:tcPr>
            <w:tcW w:w="884" w:type="dxa"/>
            <w:vAlign w:val="center"/>
            <w:hideMark/>
          </w:tcPr>
          <w:p w14:paraId="2C4B3C3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65</w:t>
            </w:r>
          </w:p>
        </w:tc>
        <w:tc>
          <w:tcPr>
            <w:tcW w:w="6919" w:type="dxa"/>
            <w:vAlign w:val="center"/>
            <w:hideMark/>
          </w:tcPr>
          <w:p w14:paraId="5D5264FF"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Facilidades de crédito y de liquidez irrevocables y condicionalmente revocables otorgadas a cualquier cliente</w:t>
            </w:r>
          </w:p>
        </w:tc>
        <w:tc>
          <w:tcPr>
            <w:tcW w:w="1015" w:type="dxa"/>
            <w:vAlign w:val="center"/>
            <w:hideMark/>
          </w:tcPr>
          <w:p w14:paraId="3CF96201"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w:t>
            </w:r>
          </w:p>
        </w:tc>
      </w:tr>
      <w:tr w:rsidR="00912847" w:rsidRPr="00912847" w14:paraId="65C7D1FB" w14:textId="77777777" w:rsidTr="009F6849">
        <w:trPr>
          <w:trHeight w:val="300"/>
        </w:trPr>
        <w:tc>
          <w:tcPr>
            <w:tcW w:w="884" w:type="dxa"/>
            <w:vAlign w:val="center"/>
            <w:hideMark/>
          </w:tcPr>
          <w:p w14:paraId="76C4DC45"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66</w:t>
            </w:r>
          </w:p>
        </w:tc>
        <w:tc>
          <w:tcPr>
            <w:tcW w:w="6919" w:type="dxa"/>
            <w:vAlign w:val="center"/>
            <w:hideMark/>
          </w:tcPr>
          <w:p w14:paraId="79432B4A"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Facilidades o cupos de crédito y de liquidez incondicionalmente revocables otorgadas mediante tarjetas de crédito</w:t>
            </w:r>
          </w:p>
        </w:tc>
        <w:tc>
          <w:tcPr>
            <w:tcW w:w="1015" w:type="dxa"/>
            <w:vAlign w:val="center"/>
            <w:hideMark/>
          </w:tcPr>
          <w:p w14:paraId="20E0A933"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5%</w:t>
            </w:r>
          </w:p>
        </w:tc>
      </w:tr>
      <w:tr w:rsidR="00912847" w:rsidRPr="00912847" w14:paraId="0DFC92D6" w14:textId="77777777" w:rsidTr="00B85046">
        <w:trPr>
          <w:trHeight w:val="501"/>
        </w:trPr>
        <w:tc>
          <w:tcPr>
            <w:tcW w:w="884" w:type="dxa"/>
            <w:vAlign w:val="center"/>
            <w:hideMark/>
          </w:tcPr>
          <w:p w14:paraId="3DCF7CD3"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67</w:t>
            </w:r>
          </w:p>
        </w:tc>
        <w:tc>
          <w:tcPr>
            <w:tcW w:w="6919" w:type="dxa"/>
            <w:vAlign w:val="center"/>
            <w:hideMark/>
          </w:tcPr>
          <w:p w14:paraId="5BF4810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 xml:space="preserve">Otras obligaciones de financiación contingente, incluyendo: (i) facilidades de crédito y liquidez incondicionalmente revocables (excluyendo las otorgadas mediante tarjetas de crédito), (ii) las obligaciones relacionadas con cartera (incluidas garantías y cartas de crédito) y (iii) obligaciones no contractuales como </w:t>
            </w:r>
            <w:r w:rsidRPr="00BF2CD0">
              <w:rPr>
                <w:rFonts w:ascii="Verdana" w:eastAsia="Times New Roman" w:hAnsi="Verdana" w:cs="Arial"/>
                <w:color w:val="000000"/>
                <w:kern w:val="0"/>
                <w:sz w:val="16"/>
                <w:szCs w:val="16"/>
                <w:lang w:eastAsia="es-CO"/>
                <w14:ligatures w14:val="none"/>
              </w:rPr>
              <w:lastRenderedPageBreak/>
              <w:t>las posibles solicitudes de recompra de deuda de la propia deuda del establecimiento de crédito</w:t>
            </w:r>
          </w:p>
        </w:tc>
        <w:tc>
          <w:tcPr>
            <w:tcW w:w="1015" w:type="dxa"/>
            <w:vAlign w:val="center"/>
            <w:hideMark/>
          </w:tcPr>
          <w:p w14:paraId="4E076D65"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lastRenderedPageBreak/>
              <w:t>5%</w:t>
            </w:r>
          </w:p>
        </w:tc>
      </w:tr>
      <w:tr w:rsidR="00912847" w:rsidRPr="00912847" w14:paraId="7215D172" w14:textId="77777777" w:rsidTr="009F6849">
        <w:trPr>
          <w:trHeight w:val="480"/>
        </w:trPr>
        <w:tc>
          <w:tcPr>
            <w:tcW w:w="884" w:type="dxa"/>
            <w:vAlign w:val="center"/>
            <w:hideMark/>
          </w:tcPr>
          <w:p w14:paraId="2D99D8BC"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68</w:t>
            </w:r>
          </w:p>
        </w:tc>
        <w:tc>
          <w:tcPr>
            <w:tcW w:w="6919" w:type="dxa"/>
            <w:vAlign w:val="center"/>
            <w:hideMark/>
          </w:tcPr>
          <w:p w14:paraId="021C7898" w14:textId="698080D8"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Efectivo, títulos y otros activos constituidos en concepto de margen inicial en contratos de derivados y efectivo u otros activos aportados como contribución al "</w:t>
            </w:r>
            <w:r w:rsidRPr="00BF2CD0">
              <w:rPr>
                <w:rFonts w:ascii="Verdana" w:eastAsia="Times New Roman" w:hAnsi="Verdana" w:cs="Arial"/>
                <w:i/>
                <w:iCs/>
                <w:color w:val="000000"/>
                <w:kern w:val="0"/>
                <w:sz w:val="16"/>
                <w:szCs w:val="16"/>
                <w:lang w:eastAsia="es-CO"/>
                <w14:ligatures w14:val="none"/>
              </w:rPr>
              <w:t xml:space="preserve">default </w:t>
            </w:r>
            <w:proofErr w:type="spellStart"/>
            <w:r w:rsidRPr="00BF2CD0">
              <w:rPr>
                <w:rFonts w:ascii="Verdana" w:eastAsia="Times New Roman" w:hAnsi="Verdana" w:cs="Arial"/>
                <w:i/>
                <w:iCs/>
                <w:color w:val="000000"/>
                <w:kern w:val="0"/>
                <w:sz w:val="16"/>
                <w:szCs w:val="16"/>
                <w:lang w:eastAsia="es-CO"/>
                <w14:ligatures w14:val="none"/>
              </w:rPr>
              <w:t>fund</w:t>
            </w:r>
            <w:proofErr w:type="spellEnd"/>
            <w:r w:rsidRPr="00BF2CD0">
              <w:rPr>
                <w:rFonts w:ascii="Verdana" w:eastAsia="Times New Roman" w:hAnsi="Verdana" w:cs="Arial"/>
                <w:color w:val="000000"/>
                <w:kern w:val="0"/>
                <w:sz w:val="16"/>
                <w:szCs w:val="16"/>
                <w:lang w:eastAsia="es-CO"/>
                <w14:ligatures w14:val="none"/>
              </w:rPr>
              <w:t xml:space="preserve">" de una </w:t>
            </w:r>
            <w:r w:rsidR="00BF2CD0">
              <w:rPr>
                <w:rFonts w:ascii="Verdana" w:eastAsia="Times New Roman" w:hAnsi="Verdana" w:cs="Arial"/>
                <w:color w:val="000000"/>
                <w:kern w:val="0"/>
                <w:sz w:val="16"/>
                <w:szCs w:val="16"/>
                <w:lang w:eastAsia="es-CO"/>
                <w14:ligatures w14:val="none"/>
              </w:rPr>
              <w:t>c</w:t>
            </w:r>
            <w:r w:rsidRPr="00BF2CD0">
              <w:rPr>
                <w:rFonts w:ascii="Verdana" w:eastAsia="Times New Roman" w:hAnsi="Verdana" w:cs="Arial"/>
                <w:color w:val="000000"/>
                <w:kern w:val="0"/>
                <w:sz w:val="16"/>
                <w:szCs w:val="16"/>
                <w:lang w:eastAsia="es-CO"/>
                <w14:ligatures w14:val="none"/>
              </w:rPr>
              <w:t xml:space="preserve">ámara de </w:t>
            </w:r>
            <w:r w:rsidR="00BF2CD0">
              <w:rPr>
                <w:rFonts w:ascii="Verdana" w:eastAsia="Times New Roman" w:hAnsi="Verdana" w:cs="Arial"/>
                <w:color w:val="000000"/>
                <w:kern w:val="0"/>
                <w:sz w:val="16"/>
                <w:szCs w:val="16"/>
                <w:lang w:eastAsia="es-CO"/>
                <w14:ligatures w14:val="none"/>
              </w:rPr>
              <w:t>r</w:t>
            </w:r>
            <w:r w:rsidRPr="00BF2CD0">
              <w:rPr>
                <w:rFonts w:ascii="Verdana" w:eastAsia="Times New Roman" w:hAnsi="Verdana" w:cs="Arial"/>
                <w:color w:val="000000"/>
                <w:kern w:val="0"/>
                <w:sz w:val="16"/>
                <w:szCs w:val="16"/>
                <w:lang w:eastAsia="es-CO"/>
                <w14:ligatures w14:val="none"/>
              </w:rPr>
              <w:t xml:space="preserve">iesgo </w:t>
            </w:r>
            <w:r w:rsidR="00BF2CD0">
              <w:rPr>
                <w:rFonts w:ascii="Verdana" w:eastAsia="Times New Roman" w:hAnsi="Verdana" w:cs="Arial"/>
                <w:color w:val="000000"/>
                <w:kern w:val="0"/>
                <w:sz w:val="16"/>
                <w:szCs w:val="16"/>
                <w:lang w:eastAsia="es-CO"/>
                <w14:ligatures w14:val="none"/>
              </w:rPr>
              <w:t>c</w:t>
            </w:r>
            <w:r w:rsidRPr="00BF2CD0">
              <w:rPr>
                <w:rFonts w:ascii="Verdana" w:eastAsia="Times New Roman" w:hAnsi="Verdana" w:cs="Arial"/>
                <w:color w:val="000000"/>
                <w:kern w:val="0"/>
                <w:sz w:val="16"/>
                <w:szCs w:val="16"/>
                <w:lang w:eastAsia="es-CO"/>
                <w14:ligatures w14:val="none"/>
              </w:rPr>
              <w:t xml:space="preserve">entral de </w:t>
            </w:r>
            <w:r w:rsidR="00BF2CD0">
              <w:rPr>
                <w:rFonts w:ascii="Verdana" w:eastAsia="Times New Roman" w:hAnsi="Verdana" w:cs="Arial"/>
                <w:color w:val="000000"/>
                <w:kern w:val="0"/>
                <w:sz w:val="16"/>
                <w:szCs w:val="16"/>
                <w:lang w:eastAsia="es-CO"/>
                <w14:ligatures w14:val="none"/>
              </w:rPr>
              <w:t>c</w:t>
            </w:r>
            <w:r w:rsidRPr="00BF2CD0">
              <w:rPr>
                <w:rFonts w:ascii="Verdana" w:eastAsia="Times New Roman" w:hAnsi="Verdana" w:cs="Arial"/>
                <w:color w:val="000000"/>
                <w:kern w:val="0"/>
                <w:sz w:val="16"/>
                <w:szCs w:val="16"/>
                <w:lang w:eastAsia="es-CO"/>
                <w14:ligatures w14:val="none"/>
              </w:rPr>
              <w:t>ontraparte (CCRC)</w:t>
            </w:r>
          </w:p>
        </w:tc>
        <w:tc>
          <w:tcPr>
            <w:tcW w:w="1015" w:type="dxa"/>
            <w:vAlign w:val="center"/>
            <w:hideMark/>
          </w:tcPr>
          <w:p w14:paraId="194B1FF6"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85%</w:t>
            </w:r>
          </w:p>
        </w:tc>
      </w:tr>
      <w:tr w:rsidR="00912847" w:rsidRPr="00912847" w14:paraId="4211D660" w14:textId="77777777" w:rsidTr="009F6849">
        <w:trPr>
          <w:trHeight w:val="480"/>
        </w:trPr>
        <w:tc>
          <w:tcPr>
            <w:tcW w:w="884" w:type="dxa"/>
            <w:vAlign w:val="center"/>
            <w:hideMark/>
          </w:tcPr>
          <w:p w14:paraId="4A10F248"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69</w:t>
            </w:r>
          </w:p>
        </w:tc>
        <w:tc>
          <w:tcPr>
            <w:tcW w:w="6919" w:type="dxa"/>
            <w:vAlign w:val="center"/>
            <w:hideMark/>
          </w:tcPr>
          <w:p w14:paraId="072B9558"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Derivados activos a efectos del CFEN, netos de derivados pasivos a efectos del CFEN, si los primeros son superiores a los segundos.</w:t>
            </w:r>
          </w:p>
        </w:tc>
        <w:tc>
          <w:tcPr>
            <w:tcW w:w="1015" w:type="dxa"/>
            <w:vAlign w:val="center"/>
            <w:hideMark/>
          </w:tcPr>
          <w:p w14:paraId="2E0CF4A3"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100%</w:t>
            </w:r>
          </w:p>
        </w:tc>
      </w:tr>
      <w:tr w:rsidR="00912847" w:rsidRPr="00912847" w14:paraId="59DFA549" w14:textId="77777777" w:rsidTr="009F6849">
        <w:trPr>
          <w:trHeight w:val="300"/>
        </w:trPr>
        <w:tc>
          <w:tcPr>
            <w:tcW w:w="884" w:type="dxa"/>
            <w:vAlign w:val="center"/>
            <w:hideMark/>
          </w:tcPr>
          <w:p w14:paraId="4159ED74"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70</w:t>
            </w:r>
          </w:p>
        </w:tc>
        <w:tc>
          <w:tcPr>
            <w:tcW w:w="6919" w:type="dxa"/>
            <w:vAlign w:val="center"/>
            <w:hideMark/>
          </w:tcPr>
          <w:p w14:paraId="31F7470B"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El 5% de los derivados pasivos (sin netear con los activos derivados)</w:t>
            </w:r>
          </w:p>
        </w:tc>
        <w:tc>
          <w:tcPr>
            <w:tcW w:w="1015" w:type="dxa"/>
            <w:vAlign w:val="center"/>
            <w:hideMark/>
          </w:tcPr>
          <w:p w14:paraId="766D4AE8" w14:textId="77777777" w:rsidR="00912847" w:rsidRPr="00BF2CD0" w:rsidRDefault="00912847" w:rsidP="00BF2CD0">
            <w:pPr>
              <w:spacing w:after="0" w:line="240" w:lineRule="auto"/>
              <w:jc w:val="center"/>
              <w:rPr>
                <w:rFonts w:ascii="Verdana" w:eastAsia="Times New Roman" w:hAnsi="Verdana" w:cs="Arial"/>
                <w:color w:val="000000"/>
                <w:kern w:val="0"/>
                <w:sz w:val="16"/>
                <w:szCs w:val="16"/>
                <w:lang w:eastAsia="es-CO"/>
                <w14:ligatures w14:val="none"/>
              </w:rPr>
            </w:pPr>
            <w:r w:rsidRPr="00BF2CD0">
              <w:rPr>
                <w:rFonts w:ascii="Verdana" w:eastAsia="Times New Roman" w:hAnsi="Verdana" w:cs="Arial"/>
                <w:color w:val="000000"/>
                <w:kern w:val="0"/>
                <w:sz w:val="16"/>
                <w:szCs w:val="16"/>
                <w:lang w:eastAsia="es-CO"/>
                <w14:ligatures w14:val="none"/>
              </w:rPr>
              <w:t>100%</w:t>
            </w:r>
          </w:p>
        </w:tc>
      </w:tr>
    </w:tbl>
    <w:p w14:paraId="73D4B6DC" w14:textId="030B5CEE" w:rsidR="00912847" w:rsidRPr="00912847" w:rsidRDefault="00912847" w:rsidP="00912847">
      <w:pPr>
        <w:jc w:val="both"/>
        <w:rPr>
          <w:rFonts w:ascii="Verdana" w:hAnsi="Verdana"/>
          <w:b/>
          <w:sz w:val="20"/>
          <w:szCs w:val="20"/>
        </w:rPr>
      </w:pPr>
    </w:p>
    <w:p w14:paraId="427811DA" w14:textId="6852C4F9" w:rsidR="00912847" w:rsidRPr="00BF2CD0" w:rsidRDefault="00912847" w:rsidP="00BF2CD0">
      <w:pPr>
        <w:pStyle w:val="Prrafodelista"/>
        <w:numPr>
          <w:ilvl w:val="0"/>
          <w:numId w:val="15"/>
        </w:numPr>
        <w:ind w:left="284" w:hanging="284"/>
        <w:jc w:val="both"/>
        <w:rPr>
          <w:rFonts w:ascii="Verdana" w:hAnsi="Verdana"/>
          <w:b/>
          <w:bCs/>
          <w:sz w:val="20"/>
          <w:szCs w:val="20"/>
        </w:rPr>
      </w:pPr>
      <w:r w:rsidRPr="00BF2CD0">
        <w:rPr>
          <w:rFonts w:ascii="Verdana" w:hAnsi="Verdana"/>
          <w:b/>
          <w:bCs/>
          <w:sz w:val="20"/>
          <w:szCs w:val="20"/>
        </w:rPr>
        <w:t>Tratamiento de los derivados activos para efectos del FER</w:t>
      </w:r>
    </w:p>
    <w:p w14:paraId="4A5B6EA1" w14:textId="1ADC639F" w:rsidR="00F6695A" w:rsidRPr="00964B84" w:rsidRDefault="00F6695A" w:rsidP="00F6695A">
      <w:pPr>
        <w:spacing w:after="0"/>
        <w:rPr>
          <w:rFonts w:ascii="Verdana" w:hAnsi="Verdana"/>
          <w:sz w:val="20"/>
          <w:szCs w:val="20"/>
        </w:rPr>
      </w:pPr>
      <w:r w:rsidRPr="688A6030">
        <w:rPr>
          <w:rFonts w:ascii="Verdana" w:hAnsi="Verdana"/>
          <w:sz w:val="20"/>
          <w:szCs w:val="20"/>
        </w:rPr>
        <w:t>1.1.A12.</w:t>
      </w:r>
      <w:r w:rsidR="440098CB" w:rsidRPr="688A6030">
        <w:rPr>
          <w:rFonts w:ascii="Verdana" w:hAnsi="Verdana"/>
          <w:sz w:val="20"/>
          <w:szCs w:val="20"/>
        </w:rPr>
        <w:t>4</w:t>
      </w:r>
      <w:r w:rsidR="00AA6092">
        <w:rPr>
          <w:rFonts w:ascii="Verdana" w:hAnsi="Verdana"/>
          <w:sz w:val="20"/>
          <w:szCs w:val="20"/>
        </w:rPr>
        <w:t>8</w:t>
      </w:r>
      <w:r w:rsidRPr="688A6030">
        <w:rPr>
          <w:rFonts w:ascii="Verdana" w:hAnsi="Verdana"/>
          <w:sz w:val="20"/>
          <w:szCs w:val="20"/>
        </w:rPr>
        <w:t>.</w:t>
      </w:r>
    </w:p>
    <w:p w14:paraId="42ABB7F9" w14:textId="0EE426C0" w:rsidR="00912847" w:rsidRPr="00912847" w:rsidRDefault="00912847" w:rsidP="00912847">
      <w:pPr>
        <w:jc w:val="both"/>
        <w:rPr>
          <w:rFonts w:ascii="Verdana" w:hAnsi="Verdana"/>
          <w:sz w:val="20"/>
          <w:szCs w:val="20"/>
        </w:rPr>
      </w:pPr>
      <w:r w:rsidRPr="11388FA0">
        <w:rPr>
          <w:rFonts w:ascii="Verdana" w:hAnsi="Verdana"/>
          <w:sz w:val="20"/>
          <w:szCs w:val="20"/>
        </w:rPr>
        <w:t xml:space="preserve">Los derivados activos se calculan con base en su valor razonable en el caso de contratos de derivados que tienen valor razonable positivo. Para calcular el monto de los derivados activos para efectos del FER, deben descontarse las garantías totales constituidas como margen de variación. Además, se debe netear el monto de derivados activos con el monto de derivados </w:t>
      </w:r>
      <w:r w:rsidRPr="00CE0474">
        <w:rPr>
          <w:rFonts w:ascii="Verdana" w:hAnsi="Verdana"/>
          <w:sz w:val="20"/>
          <w:szCs w:val="20"/>
        </w:rPr>
        <w:t xml:space="preserve">pasivos (calculados con base en el </w:t>
      </w:r>
      <w:r w:rsidR="00CE0474" w:rsidRPr="00CE0474">
        <w:rPr>
          <w:rFonts w:ascii="Verdana" w:hAnsi="Verdana"/>
          <w:sz w:val="20"/>
          <w:szCs w:val="20"/>
        </w:rPr>
        <w:t>párrafo</w:t>
      </w:r>
      <w:r w:rsidR="00CE0474">
        <w:rPr>
          <w:rFonts w:ascii="Verdana" w:hAnsi="Verdana"/>
          <w:sz w:val="20"/>
          <w:szCs w:val="20"/>
        </w:rPr>
        <w:t xml:space="preserve"> 1.1.A12.16.</w:t>
      </w:r>
      <w:r w:rsidRPr="11388FA0">
        <w:rPr>
          <w:rFonts w:ascii="Verdana" w:hAnsi="Verdana"/>
          <w:sz w:val="20"/>
          <w:szCs w:val="20"/>
        </w:rPr>
        <w:t>), siempre y cuando el monto activo sea superior al monto pasivo. En caso contrario, el monto de derivados activos para efectos del FER será cero.</w:t>
      </w:r>
    </w:p>
    <w:p w14:paraId="10DE58EA" w14:textId="523C3D9C" w:rsidR="00053442" w:rsidRPr="00964B84" w:rsidRDefault="00053442" w:rsidP="00053442">
      <w:pPr>
        <w:spacing w:after="0"/>
        <w:rPr>
          <w:rFonts w:ascii="Verdana" w:hAnsi="Verdana"/>
          <w:sz w:val="20"/>
          <w:szCs w:val="20"/>
        </w:rPr>
      </w:pPr>
      <w:r w:rsidRPr="688A6030">
        <w:rPr>
          <w:rFonts w:ascii="Verdana" w:hAnsi="Verdana"/>
          <w:sz w:val="20"/>
          <w:szCs w:val="20"/>
        </w:rPr>
        <w:t>1.1.A12.</w:t>
      </w:r>
      <w:r w:rsidR="285CB3BC" w:rsidRPr="688A6030">
        <w:rPr>
          <w:rFonts w:ascii="Verdana" w:hAnsi="Verdana"/>
          <w:sz w:val="20"/>
          <w:szCs w:val="20"/>
        </w:rPr>
        <w:t>4</w:t>
      </w:r>
      <w:r w:rsidR="00AA6092">
        <w:rPr>
          <w:rFonts w:ascii="Verdana" w:hAnsi="Verdana"/>
          <w:sz w:val="20"/>
          <w:szCs w:val="20"/>
        </w:rPr>
        <w:t>9</w:t>
      </w:r>
      <w:r w:rsidRPr="688A6030">
        <w:rPr>
          <w:rFonts w:ascii="Verdana" w:hAnsi="Verdana"/>
          <w:sz w:val="20"/>
          <w:szCs w:val="20"/>
        </w:rPr>
        <w:t>.</w:t>
      </w:r>
    </w:p>
    <w:p w14:paraId="160DEB33" w14:textId="77777777" w:rsidR="00912847" w:rsidRPr="00912847" w:rsidRDefault="00912847" w:rsidP="00912847">
      <w:pPr>
        <w:jc w:val="both"/>
        <w:rPr>
          <w:rFonts w:ascii="Verdana" w:hAnsi="Verdana"/>
          <w:sz w:val="20"/>
          <w:szCs w:val="20"/>
        </w:rPr>
      </w:pPr>
      <w:r w:rsidRPr="00912847">
        <w:rPr>
          <w:rFonts w:ascii="Verdana" w:hAnsi="Verdana"/>
          <w:sz w:val="20"/>
          <w:szCs w:val="20"/>
        </w:rPr>
        <w:t>Adicionalmente, se debe contemplar el 5% de los derivados pasivos a efectos del CFEN (sin netear con los derivados activos). Los pasivos derivados a efectos del CFEN se calculan con base en su valor razonable y descontando las garantías totales constituidas como margen de variación.</w:t>
      </w:r>
    </w:p>
    <w:p w14:paraId="6354EE61" w14:textId="74C5BFF9" w:rsidR="00912847" w:rsidRPr="00706156" w:rsidRDefault="00912847" w:rsidP="00912847">
      <w:pPr>
        <w:jc w:val="both"/>
        <w:rPr>
          <w:rFonts w:ascii="Verdana" w:hAnsi="Verdana"/>
          <w:b/>
          <w:bCs/>
          <w:sz w:val="20"/>
          <w:szCs w:val="20"/>
        </w:rPr>
      </w:pPr>
      <w:r w:rsidRPr="00706156">
        <w:rPr>
          <w:rFonts w:ascii="Verdana" w:hAnsi="Verdana"/>
          <w:b/>
          <w:bCs/>
          <w:sz w:val="20"/>
          <w:szCs w:val="20"/>
        </w:rPr>
        <w:t xml:space="preserve">Cálculo del </w:t>
      </w:r>
      <w:r w:rsidR="00FC2917">
        <w:rPr>
          <w:rFonts w:ascii="Verdana" w:hAnsi="Verdana"/>
          <w:b/>
          <w:bCs/>
          <w:sz w:val="20"/>
          <w:szCs w:val="20"/>
        </w:rPr>
        <w:t>c</w:t>
      </w:r>
      <w:r w:rsidRPr="00706156">
        <w:rPr>
          <w:rFonts w:ascii="Verdana" w:hAnsi="Verdana"/>
          <w:b/>
          <w:bCs/>
          <w:sz w:val="20"/>
          <w:szCs w:val="20"/>
        </w:rPr>
        <w:t xml:space="preserve">oeficiente de </w:t>
      </w:r>
      <w:r w:rsidR="00FC2917">
        <w:rPr>
          <w:rFonts w:ascii="Verdana" w:hAnsi="Verdana"/>
          <w:b/>
          <w:bCs/>
          <w:sz w:val="20"/>
          <w:szCs w:val="20"/>
        </w:rPr>
        <w:t>f</w:t>
      </w:r>
      <w:r w:rsidRPr="00706156">
        <w:rPr>
          <w:rFonts w:ascii="Verdana" w:hAnsi="Verdana"/>
          <w:b/>
          <w:bCs/>
          <w:sz w:val="20"/>
          <w:szCs w:val="20"/>
        </w:rPr>
        <w:t xml:space="preserve">inanciación </w:t>
      </w:r>
      <w:r w:rsidR="00FC2917">
        <w:rPr>
          <w:rFonts w:ascii="Verdana" w:hAnsi="Verdana"/>
          <w:b/>
          <w:bCs/>
          <w:sz w:val="20"/>
          <w:szCs w:val="20"/>
        </w:rPr>
        <w:t>e</w:t>
      </w:r>
      <w:r w:rsidRPr="00706156">
        <w:rPr>
          <w:rFonts w:ascii="Verdana" w:hAnsi="Verdana"/>
          <w:b/>
          <w:bCs/>
          <w:sz w:val="20"/>
          <w:szCs w:val="20"/>
        </w:rPr>
        <w:t xml:space="preserve">stable </w:t>
      </w:r>
      <w:r w:rsidR="00FC2917">
        <w:rPr>
          <w:rFonts w:ascii="Verdana" w:hAnsi="Verdana"/>
          <w:b/>
          <w:bCs/>
          <w:sz w:val="20"/>
          <w:szCs w:val="20"/>
        </w:rPr>
        <w:t>n</w:t>
      </w:r>
      <w:r w:rsidRPr="00706156">
        <w:rPr>
          <w:rFonts w:ascii="Verdana" w:hAnsi="Verdana"/>
          <w:b/>
          <w:bCs/>
          <w:sz w:val="20"/>
          <w:szCs w:val="20"/>
        </w:rPr>
        <w:t>eto (CFEN)</w:t>
      </w:r>
    </w:p>
    <w:p w14:paraId="1D8DC81A" w14:textId="226C96F8" w:rsidR="00E9649A" w:rsidRPr="00964B84" w:rsidRDefault="00E9649A" w:rsidP="00E9649A">
      <w:pPr>
        <w:spacing w:after="0"/>
        <w:rPr>
          <w:rFonts w:ascii="Verdana" w:hAnsi="Verdana"/>
          <w:sz w:val="20"/>
          <w:szCs w:val="20"/>
        </w:rPr>
      </w:pPr>
      <w:r w:rsidRPr="688A6030">
        <w:rPr>
          <w:rFonts w:ascii="Verdana" w:hAnsi="Verdana"/>
          <w:sz w:val="20"/>
          <w:szCs w:val="20"/>
        </w:rPr>
        <w:t>1.1.A12.</w:t>
      </w:r>
      <w:r w:rsidR="00AA6092">
        <w:rPr>
          <w:rFonts w:ascii="Verdana" w:hAnsi="Verdana"/>
          <w:sz w:val="20"/>
          <w:szCs w:val="20"/>
        </w:rPr>
        <w:t>50</w:t>
      </w:r>
      <w:r w:rsidRPr="688A6030">
        <w:rPr>
          <w:rFonts w:ascii="Verdana" w:hAnsi="Verdana"/>
          <w:sz w:val="20"/>
          <w:szCs w:val="20"/>
        </w:rPr>
        <w:t>.</w:t>
      </w:r>
    </w:p>
    <w:p w14:paraId="48CBDDEB" w14:textId="2D85E8A4" w:rsidR="00912847" w:rsidRPr="00912847" w:rsidRDefault="00912847" w:rsidP="00912847">
      <w:pPr>
        <w:jc w:val="both"/>
        <w:rPr>
          <w:rFonts w:ascii="Verdana" w:hAnsi="Verdana"/>
          <w:sz w:val="20"/>
          <w:szCs w:val="20"/>
        </w:rPr>
      </w:pPr>
      <w:r w:rsidRPr="00912847">
        <w:rPr>
          <w:rFonts w:ascii="Verdana" w:hAnsi="Verdana"/>
          <w:sz w:val="20"/>
          <w:szCs w:val="20"/>
        </w:rPr>
        <w:t xml:space="preserve">El CFEN en cada fecha de evaluación será el cociente entre el monto de FED y de FER. Tanto el numerador como el denominador corresponden a la suma de todos los rubros que componen dichas categorías según la definición de los numerales anteriores multiplicados por su respectivo factor de ponderación. </w:t>
      </w:r>
      <w:r w:rsidR="00427515">
        <w:rPr>
          <w:rFonts w:ascii="Verdana" w:hAnsi="Verdana"/>
          <w:sz w:val="20"/>
          <w:szCs w:val="20"/>
        </w:rPr>
        <w:t xml:space="preserve">El </w:t>
      </w:r>
      <w:r w:rsidRPr="00912847">
        <w:rPr>
          <w:rFonts w:ascii="Verdana" w:hAnsi="Verdana"/>
          <w:sz w:val="20"/>
          <w:szCs w:val="20"/>
        </w:rPr>
        <w:t>cálculo se expresa de la siguiente manera:</w:t>
      </w:r>
    </w:p>
    <w:p w14:paraId="2D2D8590" w14:textId="77777777" w:rsidR="00912847" w:rsidRPr="00912847" w:rsidRDefault="00912847" w:rsidP="00912847">
      <w:pPr>
        <w:jc w:val="center"/>
        <w:rPr>
          <w:rFonts w:ascii="Verdana" w:hAnsi="Verdana"/>
          <w:sz w:val="20"/>
          <w:szCs w:val="20"/>
        </w:rPr>
      </w:pPr>
      <m:oMathPara>
        <m:oMath>
          <m:r>
            <w:rPr>
              <w:rFonts w:ascii="Cambria Math" w:hAnsi="Cambria Math"/>
              <w:sz w:val="20"/>
              <w:szCs w:val="20"/>
            </w:rPr>
            <m:t>CFEN=</m:t>
          </m:r>
          <m:f>
            <m:fPr>
              <m:ctrlPr>
                <w:rPr>
                  <w:rFonts w:ascii="Cambria Math" w:hAnsi="Cambria Math"/>
                  <w:i/>
                  <w:sz w:val="20"/>
                  <w:szCs w:val="20"/>
                </w:rPr>
              </m:ctrlPr>
            </m:fPr>
            <m:num>
              <m:r>
                <w:rPr>
                  <w:rFonts w:ascii="Cambria Math" w:hAnsi="Cambria Math"/>
                  <w:sz w:val="20"/>
                  <w:szCs w:val="20"/>
                </w:rPr>
                <m:t>FED</m:t>
              </m:r>
            </m:num>
            <m:den>
              <m:r>
                <w:rPr>
                  <w:rFonts w:ascii="Cambria Math" w:hAnsi="Cambria Math"/>
                  <w:sz w:val="20"/>
                  <w:szCs w:val="20"/>
                </w:rPr>
                <m:t>FER</m:t>
              </m:r>
            </m:den>
          </m:f>
        </m:oMath>
      </m:oMathPara>
    </w:p>
    <w:p w14:paraId="4669BCE7" w14:textId="77777777" w:rsidR="00912847" w:rsidRPr="00912847" w:rsidRDefault="00912847" w:rsidP="00912847">
      <w:pPr>
        <w:jc w:val="both"/>
        <w:rPr>
          <w:rFonts w:ascii="Verdana" w:hAnsi="Verdana"/>
          <w:sz w:val="20"/>
          <w:szCs w:val="20"/>
        </w:rPr>
      </w:pPr>
      <w:r w:rsidRPr="00912847">
        <w:rPr>
          <w:rFonts w:ascii="Verdana" w:hAnsi="Verdana"/>
          <w:sz w:val="20"/>
          <w:szCs w:val="20"/>
        </w:rPr>
        <w:t>Donde:</w:t>
      </w:r>
    </w:p>
    <w:p w14:paraId="25D404C7" w14:textId="77777777" w:rsidR="00912847" w:rsidRPr="00912847" w:rsidRDefault="00912847" w:rsidP="00912847">
      <w:pPr>
        <w:jc w:val="center"/>
        <w:rPr>
          <w:rFonts w:ascii="Verdana" w:hAnsi="Verdana"/>
          <w:sz w:val="20"/>
          <w:szCs w:val="20"/>
        </w:rPr>
      </w:pPr>
      <m:oMathPara>
        <m:oMath>
          <m:r>
            <w:rPr>
              <w:rFonts w:ascii="Cambria Math" w:hAnsi="Cambria Math"/>
              <w:sz w:val="20"/>
              <w:szCs w:val="20"/>
            </w:rPr>
            <m:t>FED=</m:t>
          </m:r>
          <m:nary>
            <m:naryPr>
              <m:chr m:val="∑"/>
              <m:limLoc m:val="undOvr"/>
              <m:supHide m:val="1"/>
              <m:ctrlPr>
                <w:rPr>
                  <w:rFonts w:ascii="Cambria Math" w:hAnsi="Cambria Math"/>
                  <w:i/>
                  <w:sz w:val="20"/>
                  <w:szCs w:val="20"/>
                </w:rPr>
              </m:ctrlPr>
            </m:naryPr>
            <m:sub>
              <m:r>
                <w:rPr>
                  <w:rFonts w:ascii="Cambria Math" w:hAnsi="Cambria Math"/>
                  <w:sz w:val="20"/>
                  <w:szCs w:val="20"/>
                </w:rPr>
                <m:t>i</m:t>
              </m:r>
            </m:sub>
            <m:sup/>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Valor Contable del Rubro</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Factor FED</m:t>
                  </m:r>
                </m:e>
                <m:sub>
                  <m:r>
                    <w:rPr>
                      <w:rFonts w:ascii="Cambria Math" w:hAnsi="Cambria Math"/>
                      <w:sz w:val="20"/>
                      <w:szCs w:val="20"/>
                    </w:rPr>
                    <m:t>i</m:t>
                  </m:r>
                </m:sub>
              </m:sSub>
              <m:r>
                <w:rPr>
                  <w:rFonts w:ascii="Cambria Math" w:hAnsi="Cambria Math"/>
                  <w:sz w:val="20"/>
                  <w:szCs w:val="20"/>
                </w:rPr>
                <m:t>)</m:t>
              </m:r>
            </m:e>
          </m:nary>
        </m:oMath>
      </m:oMathPara>
    </w:p>
    <w:p w14:paraId="51C80947" w14:textId="77777777" w:rsidR="00912847" w:rsidRPr="00912847" w:rsidRDefault="00912847" w:rsidP="00912847">
      <w:pPr>
        <w:jc w:val="center"/>
        <w:rPr>
          <w:rFonts w:ascii="Verdana" w:hAnsi="Verdana"/>
          <w:sz w:val="20"/>
          <w:szCs w:val="20"/>
        </w:rPr>
      </w:pPr>
      <m:oMathPara>
        <m:oMath>
          <m:r>
            <w:rPr>
              <w:rFonts w:ascii="Cambria Math" w:hAnsi="Cambria Math"/>
              <w:sz w:val="20"/>
              <w:szCs w:val="20"/>
            </w:rPr>
            <m:t>FER=</m:t>
          </m:r>
          <m:nary>
            <m:naryPr>
              <m:chr m:val="∑"/>
              <m:limLoc m:val="undOvr"/>
              <m:supHide m:val="1"/>
              <m:ctrlPr>
                <w:rPr>
                  <w:rFonts w:ascii="Cambria Math" w:hAnsi="Cambria Math"/>
                  <w:i/>
                  <w:sz w:val="20"/>
                  <w:szCs w:val="20"/>
                </w:rPr>
              </m:ctrlPr>
            </m:naryPr>
            <m:sub>
              <m:r>
                <w:rPr>
                  <w:rFonts w:ascii="Cambria Math" w:hAnsi="Cambria Math"/>
                  <w:sz w:val="20"/>
                  <w:szCs w:val="20"/>
                </w:rPr>
                <m:t>j</m:t>
              </m:r>
            </m:sub>
            <m:sup/>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Valor Contable del Rubro</m:t>
                  </m:r>
                </m:e>
                <m:sub>
                  <m:r>
                    <w:rPr>
                      <w:rFonts w:ascii="Cambria Math" w:hAnsi="Cambria Math"/>
                      <w:sz w:val="20"/>
                      <w:szCs w:val="20"/>
                    </w:rPr>
                    <m:t>j</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Factor FER</m:t>
                  </m:r>
                </m:e>
                <m:sub>
                  <m:r>
                    <w:rPr>
                      <w:rFonts w:ascii="Cambria Math" w:hAnsi="Cambria Math"/>
                      <w:sz w:val="20"/>
                      <w:szCs w:val="20"/>
                    </w:rPr>
                    <m:t>j</m:t>
                  </m:r>
                </m:sub>
              </m:sSub>
              <m:r>
                <w:rPr>
                  <w:rFonts w:ascii="Cambria Math" w:hAnsi="Cambria Math"/>
                  <w:sz w:val="20"/>
                  <w:szCs w:val="20"/>
                </w:rPr>
                <m:t>)</m:t>
              </m:r>
            </m:e>
          </m:nary>
        </m:oMath>
      </m:oMathPara>
    </w:p>
    <w:p w14:paraId="3FDE446B" w14:textId="358E7162" w:rsidR="0088579F" w:rsidRPr="00964B84" w:rsidRDefault="0088579F" w:rsidP="0088579F">
      <w:pPr>
        <w:spacing w:after="0"/>
        <w:rPr>
          <w:rFonts w:ascii="Verdana" w:hAnsi="Verdana"/>
          <w:sz w:val="20"/>
          <w:szCs w:val="20"/>
        </w:rPr>
      </w:pPr>
      <w:r w:rsidRPr="688A6030">
        <w:rPr>
          <w:rFonts w:ascii="Verdana" w:hAnsi="Verdana"/>
          <w:sz w:val="20"/>
          <w:szCs w:val="20"/>
        </w:rPr>
        <w:t>1.1.A12.</w:t>
      </w:r>
      <w:r w:rsidR="00AA6092">
        <w:rPr>
          <w:rFonts w:ascii="Verdana" w:hAnsi="Verdana"/>
          <w:sz w:val="20"/>
          <w:szCs w:val="20"/>
        </w:rPr>
        <w:t>51</w:t>
      </w:r>
      <w:r w:rsidRPr="688A6030">
        <w:rPr>
          <w:rFonts w:ascii="Verdana" w:hAnsi="Verdana"/>
          <w:sz w:val="20"/>
          <w:szCs w:val="20"/>
        </w:rPr>
        <w:t>.</w:t>
      </w:r>
    </w:p>
    <w:p w14:paraId="0D28B8EC" w14:textId="254DDFA7" w:rsidR="00912847" w:rsidRPr="00912847" w:rsidRDefault="00912847" w:rsidP="00912847">
      <w:pPr>
        <w:jc w:val="both"/>
        <w:rPr>
          <w:rFonts w:ascii="Verdana" w:hAnsi="Verdana"/>
          <w:sz w:val="20"/>
          <w:szCs w:val="20"/>
        </w:rPr>
      </w:pPr>
      <w:r w:rsidRPr="00912847">
        <w:rPr>
          <w:rFonts w:ascii="Verdana" w:hAnsi="Verdana"/>
          <w:sz w:val="20"/>
          <w:szCs w:val="20"/>
        </w:rPr>
        <w:t xml:space="preserve">Para todos los </w:t>
      </w:r>
      <m:oMath>
        <m:r>
          <w:rPr>
            <w:rFonts w:ascii="Cambria Math" w:hAnsi="Cambria Math"/>
            <w:sz w:val="20"/>
            <w:szCs w:val="20"/>
          </w:rPr>
          <m:t>i</m:t>
        </m:r>
      </m:oMath>
      <w:r w:rsidRPr="00912847">
        <w:rPr>
          <w:rFonts w:ascii="Verdana" w:hAnsi="Verdana"/>
          <w:sz w:val="20"/>
          <w:szCs w:val="20"/>
        </w:rPr>
        <w:t xml:space="preserve"> rubros del pasivo y del patrimonio que hacen parte del FED y los </w:t>
      </w:r>
      <m:oMath>
        <m:r>
          <w:rPr>
            <w:rFonts w:ascii="Cambria Math" w:hAnsi="Cambria Math"/>
            <w:sz w:val="20"/>
            <w:szCs w:val="20"/>
          </w:rPr>
          <m:t>j</m:t>
        </m:r>
      </m:oMath>
      <w:r w:rsidRPr="00912847">
        <w:rPr>
          <w:rFonts w:ascii="Verdana" w:hAnsi="Verdana"/>
          <w:sz w:val="20"/>
          <w:szCs w:val="20"/>
        </w:rPr>
        <w:t xml:space="preserve"> rubros del activo y de las posiciones fuera de balance que hacen parte del FER.</w:t>
      </w:r>
    </w:p>
    <w:sectPr w:rsidR="00912847" w:rsidRPr="00912847"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3247" w14:textId="77777777" w:rsidR="00D3354C" w:rsidRDefault="00D3354C" w:rsidP="00057BF6">
      <w:pPr>
        <w:spacing w:after="0" w:line="240" w:lineRule="auto"/>
      </w:pPr>
      <w:r>
        <w:separator/>
      </w:r>
    </w:p>
  </w:endnote>
  <w:endnote w:type="continuationSeparator" w:id="0">
    <w:p w14:paraId="369723DB" w14:textId="77777777" w:rsidR="00D3354C" w:rsidRDefault="00D3354C"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5C98" w14:textId="77777777" w:rsidR="00D3354C" w:rsidRDefault="00D3354C" w:rsidP="00057BF6">
      <w:pPr>
        <w:spacing w:after="0" w:line="240" w:lineRule="auto"/>
      </w:pPr>
      <w:r>
        <w:separator/>
      </w:r>
    </w:p>
  </w:footnote>
  <w:footnote w:type="continuationSeparator" w:id="0">
    <w:p w14:paraId="1069A2CF" w14:textId="77777777" w:rsidR="00D3354C" w:rsidRDefault="00D3354C"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302AFD"/>
    <w:multiLevelType w:val="hybridMultilevel"/>
    <w:tmpl w:val="DF509E0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F42203"/>
    <w:multiLevelType w:val="multilevel"/>
    <w:tmpl w:val="F77282DC"/>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95010E"/>
    <w:multiLevelType w:val="hybridMultilevel"/>
    <w:tmpl w:val="C37E2A30"/>
    <w:lvl w:ilvl="0" w:tplc="CFAC9E9E">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4153E4"/>
    <w:multiLevelType w:val="hybridMultilevel"/>
    <w:tmpl w:val="80AAA0F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A2C31A0"/>
    <w:multiLevelType w:val="hybridMultilevel"/>
    <w:tmpl w:val="E542BA4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232932"/>
    <w:multiLevelType w:val="multilevel"/>
    <w:tmpl w:val="2ECE13F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15:restartNumberingAfterBreak="0">
    <w:nsid w:val="1EA713ED"/>
    <w:multiLevelType w:val="hybridMultilevel"/>
    <w:tmpl w:val="EF10E65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0E140B"/>
    <w:multiLevelType w:val="hybridMultilevel"/>
    <w:tmpl w:val="83BE86E2"/>
    <w:lvl w:ilvl="0" w:tplc="F440E6BE">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30C0690"/>
    <w:multiLevelType w:val="hybridMultilevel"/>
    <w:tmpl w:val="9CE44396"/>
    <w:lvl w:ilvl="0" w:tplc="2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D953E4"/>
    <w:multiLevelType w:val="hybridMultilevel"/>
    <w:tmpl w:val="FD020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E654CDD"/>
    <w:multiLevelType w:val="hybridMultilevel"/>
    <w:tmpl w:val="4770E6FE"/>
    <w:lvl w:ilvl="0" w:tplc="525E3284">
      <w:start w:val="1"/>
      <w:numFmt w:val="lowerLetter"/>
      <w:lvlText w:val="%1."/>
      <w:lvlJc w:val="left"/>
      <w:pPr>
        <w:ind w:left="4046" w:hanging="360"/>
      </w:pPr>
      <w:rPr>
        <w:rFonts w:hint="default"/>
      </w:rPr>
    </w:lvl>
    <w:lvl w:ilvl="1" w:tplc="240A0019" w:tentative="1">
      <w:start w:val="1"/>
      <w:numFmt w:val="lowerLetter"/>
      <w:lvlText w:val="%2."/>
      <w:lvlJc w:val="left"/>
      <w:pPr>
        <w:ind w:left="4766" w:hanging="360"/>
      </w:pPr>
    </w:lvl>
    <w:lvl w:ilvl="2" w:tplc="240A001B" w:tentative="1">
      <w:start w:val="1"/>
      <w:numFmt w:val="lowerRoman"/>
      <w:lvlText w:val="%3."/>
      <w:lvlJc w:val="right"/>
      <w:pPr>
        <w:ind w:left="5486" w:hanging="180"/>
      </w:pPr>
    </w:lvl>
    <w:lvl w:ilvl="3" w:tplc="240A000F" w:tentative="1">
      <w:start w:val="1"/>
      <w:numFmt w:val="decimal"/>
      <w:lvlText w:val="%4."/>
      <w:lvlJc w:val="left"/>
      <w:pPr>
        <w:ind w:left="6206" w:hanging="360"/>
      </w:pPr>
    </w:lvl>
    <w:lvl w:ilvl="4" w:tplc="240A0019" w:tentative="1">
      <w:start w:val="1"/>
      <w:numFmt w:val="lowerLetter"/>
      <w:lvlText w:val="%5."/>
      <w:lvlJc w:val="left"/>
      <w:pPr>
        <w:ind w:left="6926" w:hanging="360"/>
      </w:pPr>
    </w:lvl>
    <w:lvl w:ilvl="5" w:tplc="240A001B" w:tentative="1">
      <w:start w:val="1"/>
      <w:numFmt w:val="lowerRoman"/>
      <w:lvlText w:val="%6."/>
      <w:lvlJc w:val="right"/>
      <w:pPr>
        <w:ind w:left="7646" w:hanging="180"/>
      </w:pPr>
    </w:lvl>
    <w:lvl w:ilvl="6" w:tplc="240A000F" w:tentative="1">
      <w:start w:val="1"/>
      <w:numFmt w:val="decimal"/>
      <w:lvlText w:val="%7."/>
      <w:lvlJc w:val="left"/>
      <w:pPr>
        <w:ind w:left="8366" w:hanging="360"/>
      </w:pPr>
    </w:lvl>
    <w:lvl w:ilvl="7" w:tplc="240A0019" w:tentative="1">
      <w:start w:val="1"/>
      <w:numFmt w:val="lowerLetter"/>
      <w:lvlText w:val="%8."/>
      <w:lvlJc w:val="left"/>
      <w:pPr>
        <w:ind w:left="9086" w:hanging="360"/>
      </w:pPr>
    </w:lvl>
    <w:lvl w:ilvl="8" w:tplc="240A001B" w:tentative="1">
      <w:start w:val="1"/>
      <w:numFmt w:val="lowerRoman"/>
      <w:lvlText w:val="%9."/>
      <w:lvlJc w:val="right"/>
      <w:pPr>
        <w:ind w:left="9806" w:hanging="180"/>
      </w:pPr>
    </w:lvl>
  </w:abstractNum>
  <w:abstractNum w:abstractNumId="13" w15:restartNumberingAfterBreak="0">
    <w:nsid w:val="678060DD"/>
    <w:multiLevelType w:val="hybridMultilevel"/>
    <w:tmpl w:val="AD5A04E8"/>
    <w:lvl w:ilvl="0" w:tplc="7ABA9208">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D97779C"/>
    <w:multiLevelType w:val="hybridMultilevel"/>
    <w:tmpl w:val="DD86208A"/>
    <w:lvl w:ilvl="0" w:tplc="547CA5A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3892EF2"/>
    <w:multiLevelType w:val="hybridMultilevel"/>
    <w:tmpl w:val="C18EDCA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C022EB4"/>
    <w:multiLevelType w:val="hybridMultilevel"/>
    <w:tmpl w:val="238C185A"/>
    <w:lvl w:ilvl="0" w:tplc="46FED64E">
      <w:start w:val="1"/>
      <w:numFmt w:val="lowerLetter"/>
      <w:lvlText w:val="%1."/>
      <w:lvlJc w:val="left"/>
      <w:pPr>
        <w:ind w:left="4046" w:hanging="360"/>
      </w:pPr>
      <w:rPr>
        <w:rFonts w:hint="default"/>
      </w:rPr>
    </w:lvl>
    <w:lvl w:ilvl="1" w:tplc="240A0019" w:tentative="1">
      <w:start w:val="1"/>
      <w:numFmt w:val="lowerLetter"/>
      <w:lvlText w:val="%2."/>
      <w:lvlJc w:val="left"/>
      <w:pPr>
        <w:ind w:left="4766" w:hanging="360"/>
      </w:pPr>
    </w:lvl>
    <w:lvl w:ilvl="2" w:tplc="240A001B" w:tentative="1">
      <w:start w:val="1"/>
      <w:numFmt w:val="lowerRoman"/>
      <w:lvlText w:val="%3."/>
      <w:lvlJc w:val="right"/>
      <w:pPr>
        <w:ind w:left="5486" w:hanging="180"/>
      </w:pPr>
    </w:lvl>
    <w:lvl w:ilvl="3" w:tplc="240A000F" w:tentative="1">
      <w:start w:val="1"/>
      <w:numFmt w:val="decimal"/>
      <w:lvlText w:val="%4."/>
      <w:lvlJc w:val="left"/>
      <w:pPr>
        <w:ind w:left="6206" w:hanging="360"/>
      </w:pPr>
    </w:lvl>
    <w:lvl w:ilvl="4" w:tplc="240A0019" w:tentative="1">
      <w:start w:val="1"/>
      <w:numFmt w:val="lowerLetter"/>
      <w:lvlText w:val="%5."/>
      <w:lvlJc w:val="left"/>
      <w:pPr>
        <w:ind w:left="6926" w:hanging="360"/>
      </w:pPr>
    </w:lvl>
    <w:lvl w:ilvl="5" w:tplc="240A001B" w:tentative="1">
      <w:start w:val="1"/>
      <w:numFmt w:val="lowerRoman"/>
      <w:lvlText w:val="%6."/>
      <w:lvlJc w:val="right"/>
      <w:pPr>
        <w:ind w:left="7646" w:hanging="180"/>
      </w:pPr>
    </w:lvl>
    <w:lvl w:ilvl="6" w:tplc="240A000F" w:tentative="1">
      <w:start w:val="1"/>
      <w:numFmt w:val="decimal"/>
      <w:lvlText w:val="%7."/>
      <w:lvlJc w:val="left"/>
      <w:pPr>
        <w:ind w:left="8366" w:hanging="360"/>
      </w:pPr>
    </w:lvl>
    <w:lvl w:ilvl="7" w:tplc="240A0019" w:tentative="1">
      <w:start w:val="1"/>
      <w:numFmt w:val="lowerLetter"/>
      <w:lvlText w:val="%8."/>
      <w:lvlJc w:val="left"/>
      <w:pPr>
        <w:ind w:left="9086" w:hanging="360"/>
      </w:pPr>
    </w:lvl>
    <w:lvl w:ilvl="8" w:tplc="240A001B" w:tentative="1">
      <w:start w:val="1"/>
      <w:numFmt w:val="lowerRoman"/>
      <w:lvlText w:val="%9."/>
      <w:lvlJc w:val="right"/>
      <w:pPr>
        <w:ind w:left="9806" w:hanging="180"/>
      </w:pPr>
    </w:lvl>
  </w:abstractNum>
  <w:num w:numId="1" w16cid:durableId="1880435568">
    <w:abstractNumId w:val="16"/>
  </w:num>
  <w:num w:numId="2" w16cid:durableId="1362513633">
    <w:abstractNumId w:val="0"/>
  </w:num>
  <w:num w:numId="3" w16cid:durableId="140999716">
    <w:abstractNumId w:val="7"/>
  </w:num>
  <w:num w:numId="4" w16cid:durableId="75860178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5454149">
    <w:abstractNumId w:val="2"/>
  </w:num>
  <w:num w:numId="6" w16cid:durableId="1006206391">
    <w:abstractNumId w:val="17"/>
  </w:num>
  <w:num w:numId="7" w16cid:durableId="765032560">
    <w:abstractNumId w:val="13"/>
  </w:num>
  <w:num w:numId="8" w16cid:durableId="798763101">
    <w:abstractNumId w:val="14"/>
  </w:num>
  <w:num w:numId="9" w16cid:durableId="536359399">
    <w:abstractNumId w:val="9"/>
  </w:num>
  <w:num w:numId="10" w16cid:durableId="784083207">
    <w:abstractNumId w:val="3"/>
  </w:num>
  <w:num w:numId="11" w16cid:durableId="877664444">
    <w:abstractNumId w:val="12"/>
  </w:num>
  <w:num w:numId="12" w16cid:durableId="2081126730">
    <w:abstractNumId w:val="10"/>
  </w:num>
  <w:num w:numId="13" w16cid:durableId="1569072382">
    <w:abstractNumId w:val="7"/>
  </w:num>
  <w:num w:numId="14" w16cid:durableId="1840152150">
    <w:abstractNumId w:val="1"/>
  </w:num>
  <w:num w:numId="15" w16cid:durableId="1553418359">
    <w:abstractNumId w:val="11"/>
  </w:num>
  <w:num w:numId="16" w16cid:durableId="1559704713">
    <w:abstractNumId w:val="5"/>
  </w:num>
  <w:num w:numId="17" w16cid:durableId="1875000119">
    <w:abstractNumId w:val="15"/>
  </w:num>
  <w:num w:numId="18" w16cid:durableId="1971813866">
    <w:abstractNumId w:val="4"/>
  </w:num>
  <w:num w:numId="19" w16cid:durableId="2185896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29C7"/>
    <w:rsid w:val="00005924"/>
    <w:rsid w:val="000252B2"/>
    <w:rsid w:val="00027E8D"/>
    <w:rsid w:val="0004084D"/>
    <w:rsid w:val="000511FA"/>
    <w:rsid w:val="00053442"/>
    <w:rsid w:val="00056653"/>
    <w:rsid w:val="00057BF6"/>
    <w:rsid w:val="0006714F"/>
    <w:rsid w:val="0006736C"/>
    <w:rsid w:val="0008160C"/>
    <w:rsid w:val="00084227"/>
    <w:rsid w:val="00095547"/>
    <w:rsid w:val="000E1E74"/>
    <w:rsid w:val="0010156A"/>
    <w:rsid w:val="00102A47"/>
    <w:rsid w:val="001050B8"/>
    <w:rsid w:val="00110E76"/>
    <w:rsid w:val="0011519B"/>
    <w:rsid w:val="001259CE"/>
    <w:rsid w:val="00145772"/>
    <w:rsid w:val="00145FB8"/>
    <w:rsid w:val="00151F12"/>
    <w:rsid w:val="001524D9"/>
    <w:rsid w:val="00163FAA"/>
    <w:rsid w:val="00166E4D"/>
    <w:rsid w:val="0017025A"/>
    <w:rsid w:val="00173F3D"/>
    <w:rsid w:val="0017676D"/>
    <w:rsid w:val="00195E0F"/>
    <w:rsid w:val="001A0AAE"/>
    <w:rsid w:val="001B4F3B"/>
    <w:rsid w:val="001B5187"/>
    <w:rsid w:val="001B7C05"/>
    <w:rsid w:val="001D4506"/>
    <w:rsid w:val="001E00A9"/>
    <w:rsid w:val="001E0BCC"/>
    <w:rsid w:val="00202ABC"/>
    <w:rsid w:val="00204A3D"/>
    <w:rsid w:val="0021666A"/>
    <w:rsid w:val="00231AD6"/>
    <w:rsid w:val="00233777"/>
    <w:rsid w:val="002366AC"/>
    <w:rsid w:val="00241827"/>
    <w:rsid w:val="002429E5"/>
    <w:rsid w:val="00262739"/>
    <w:rsid w:val="00262FED"/>
    <w:rsid w:val="00266209"/>
    <w:rsid w:val="00271254"/>
    <w:rsid w:val="002728F9"/>
    <w:rsid w:val="00272B0E"/>
    <w:rsid w:val="002821CA"/>
    <w:rsid w:val="00284206"/>
    <w:rsid w:val="0028458D"/>
    <w:rsid w:val="002913BD"/>
    <w:rsid w:val="00294B10"/>
    <w:rsid w:val="002B38B6"/>
    <w:rsid w:val="002B4F4A"/>
    <w:rsid w:val="002B7150"/>
    <w:rsid w:val="002C0EC7"/>
    <w:rsid w:val="002C26F8"/>
    <w:rsid w:val="002C2900"/>
    <w:rsid w:val="002C49F2"/>
    <w:rsid w:val="002D0182"/>
    <w:rsid w:val="002D211E"/>
    <w:rsid w:val="002D37FD"/>
    <w:rsid w:val="002F5CF4"/>
    <w:rsid w:val="003044D0"/>
    <w:rsid w:val="00312FC7"/>
    <w:rsid w:val="00316875"/>
    <w:rsid w:val="00347CDC"/>
    <w:rsid w:val="0035074B"/>
    <w:rsid w:val="00357A31"/>
    <w:rsid w:val="00360C76"/>
    <w:rsid w:val="00361B56"/>
    <w:rsid w:val="0036407F"/>
    <w:rsid w:val="003745A4"/>
    <w:rsid w:val="00392715"/>
    <w:rsid w:val="003A4CD1"/>
    <w:rsid w:val="003A5CFE"/>
    <w:rsid w:val="003B2957"/>
    <w:rsid w:val="003C558F"/>
    <w:rsid w:val="003D21DF"/>
    <w:rsid w:val="003F402C"/>
    <w:rsid w:val="0040498E"/>
    <w:rsid w:val="00404F89"/>
    <w:rsid w:val="00405030"/>
    <w:rsid w:val="0040582E"/>
    <w:rsid w:val="00406D2B"/>
    <w:rsid w:val="00415732"/>
    <w:rsid w:val="00417BDC"/>
    <w:rsid w:val="00426BA8"/>
    <w:rsid w:val="00427515"/>
    <w:rsid w:val="00427FB5"/>
    <w:rsid w:val="0043223D"/>
    <w:rsid w:val="004362B9"/>
    <w:rsid w:val="00441064"/>
    <w:rsid w:val="00444CCB"/>
    <w:rsid w:val="00462D61"/>
    <w:rsid w:val="0046450D"/>
    <w:rsid w:val="00483C82"/>
    <w:rsid w:val="00486656"/>
    <w:rsid w:val="00490D2F"/>
    <w:rsid w:val="004A2C4E"/>
    <w:rsid w:val="004B5CF4"/>
    <w:rsid w:val="004B61E8"/>
    <w:rsid w:val="004D1360"/>
    <w:rsid w:val="004D1425"/>
    <w:rsid w:val="004D3708"/>
    <w:rsid w:val="004D6E69"/>
    <w:rsid w:val="004E27DD"/>
    <w:rsid w:val="004E4BF4"/>
    <w:rsid w:val="00505B79"/>
    <w:rsid w:val="00507B84"/>
    <w:rsid w:val="00533F2B"/>
    <w:rsid w:val="00536CBC"/>
    <w:rsid w:val="00544A86"/>
    <w:rsid w:val="00546423"/>
    <w:rsid w:val="00546A7D"/>
    <w:rsid w:val="0055785C"/>
    <w:rsid w:val="00561B6B"/>
    <w:rsid w:val="0056713B"/>
    <w:rsid w:val="00575597"/>
    <w:rsid w:val="00575E1D"/>
    <w:rsid w:val="00591271"/>
    <w:rsid w:val="0059676F"/>
    <w:rsid w:val="00596B88"/>
    <w:rsid w:val="005A3CC1"/>
    <w:rsid w:val="005A3DA4"/>
    <w:rsid w:val="005A54FF"/>
    <w:rsid w:val="005B4862"/>
    <w:rsid w:val="005C66D6"/>
    <w:rsid w:val="005F59F5"/>
    <w:rsid w:val="00611745"/>
    <w:rsid w:val="0061423F"/>
    <w:rsid w:val="00621761"/>
    <w:rsid w:val="00626C9F"/>
    <w:rsid w:val="00633005"/>
    <w:rsid w:val="0063400E"/>
    <w:rsid w:val="0063506C"/>
    <w:rsid w:val="00637BB9"/>
    <w:rsid w:val="006402F5"/>
    <w:rsid w:val="00663F6B"/>
    <w:rsid w:val="006646E1"/>
    <w:rsid w:val="00667822"/>
    <w:rsid w:val="00667961"/>
    <w:rsid w:val="006711CB"/>
    <w:rsid w:val="006B37A3"/>
    <w:rsid w:val="006B530C"/>
    <w:rsid w:val="006C1C37"/>
    <w:rsid w:val="006C56C6"/>
    <w:rsid w:val="006C5AFA"/>
    <w:rsid w:val="00702C14"/>
    <w:rsid w:val="00706156"/>
    <w:rsid w:val="00716C4F"/>
    <w:rsid w:val="00721D02"/>
    <w:rsid w:val="00730343"/>
    <w:rsid w:val="007314AD"/>
    <w:rsid w:val="00733B69"/>
    <w:rsid w:val="00733ED7"/>
    <w:rsid w:val="00734CA4"/>
    <w:rsid w:val="00746A2C"/>
    <w:rsid w:val="00753A52"/>
    <w:rsid w:val="00754E52"/>
    <w:rsid w:val="00760E83"/>
    <w:rsid w:val="00761A65"/>
    <w:rsid w:val="00767C12"/>
    <w:rsid w:val="0077333D"/>
    <w:rsid w:val="00782752"/>
    <w:rsid w:val="00782915"/>
    <w:rsid w:val="00787357"/>
    <w:rsid w:val="007926CC"/>
    <w:rsid w:val="007A1543"/>
    <w:rsid w:val="007A302E"/>
    <w:rsid w:val="007A4231"/>
    <w:rsid w:val="007A5CF3"/>
    <w:rsid w:val="007C0AE7"/>
    <w:rsid w:val="007C1D84"/>
    <w:rsid w:val="007C3398"/>
    <w:rsid w:val="007C3648"/>
    <w:rsid w:val="007F1E30"/>
    <w:rsid w:val="0082329A"/>
    <w:rsid w:val="008249A8"/>
    <w:rsid w:val="0082621D"/>
    <w:rsid w:val="00846AF3"/>
    <w:rsid w:val="00857C07"/>
    <w:rsid w:val="008635FA"/>
    <w:rsid w:val="00866070"/>
    <w:rsid w:val="00872A46"/>
    <w:rsid w:val="008815F7"/>
    <w:rsid w:val="0088579F"/>
    <w:rsid w:val="00890A51"/>
    <w:rsid w:val="00891248"/>
    <w:rsid w:val="0089431B"/>
    <w:rsid w:val="00897D55"/>
    <w:rsid w:val="008A49D6"/>
    <w:rsid w:val="008B5AEC"/>
    <w:rsid w:val="008C323E"/>
    <w:rsid w:val="008C655E"/>
    <w:rsid w:val="008E0D47"/>
    <w:rsid w:val="008E3040"/>
    <w:rsid w:val="008E6AE8"/>
    <w:rsid w:val="008E70AF"/>
    <w:rsid w:val="008F0BE8"/>
    <w:rsid w:val="00912847"/>
    <w:rsid w:val="00922D1D"/>
    <w:rsid w:val="00925AFF"/>
    <w:rsid w:val="00935E73"/>
    <w:rsid w:val="00946424"/>
    <w:rsid w:val="00950EF3"/>
    <w:rsid w:val="00956634"/>
    <w:rsid w:val="00956EC8"/>
    <w:rsid w:val="009571FD"/>
    <w:rsid w:val="009578AB"/>
    <w:rsid w:val="00961913"/>
    <w:rsid w:val="00973F26"/>
    <w:rsid w:val="00974F05"/>
    <w:rsid w:val="00980BFB"/>
    <w:rsid w:val="009872A4"/>
    <w:rsid w:val="00993656"/>
    <w:rsid w:val="00997D67"/>
    <w:rsid w:val="009A2823"/>
    <w:rsid w:val="009A5622"/>
    <w:rsid w:val="009B5293"/>
    <w:rsid w:val="009B6D85"/>
    <w:rsid w:val="009C19D4"/>
    <w:rsid w:val="009C33AF"/>
    <w:rsid w:val="009C370B"/>
    <w:rsid w:val="009C7B43"/>
    <w:rsid w:val="009D5682"/>
    <w:rsid w:val="009D6127"/>
    <w:rsid w:val="009E1837"/>
    <w:rsid w:val="009E4829"/>
    <w:rsid w:val="009F6849"/>
    <w:rsid w:val="009F7626"/>
    <w:rsid w:val="00A01A1D"/>
    <w:rsid w:val="00A04DA7"/>
    <w:rsid w:val="00A108D6"/>
    <w:rsid w:val="00A271EA"/>
    <w:rsid w:val="00A41E5E"/>
    <w:rsid w:val="00A463A3"/>
    <w:rsid w:val="00A4669D"/>
    <w:rsid w:val="00A4685E"/>
    <w:rsid w:val="00A50989"/>
    <w:rsid w:val="00A515B0"/>
    <w:rsid w:val="00A53442"/>
    <w:rsid w:val="00A56294"/>
    <w:rsid w:val="00A57BB2"/>
    <w:rsid w:val="00A64CAA"/>
    <w:rsid w:val="00A6611A"/>
    <w:rsid w:val="00A664A3"/>
    <w:rsid w:val="00A70CFD"/>
    <w:rsid w:val="00A7497C"/>
    <w:rsid w:val="00A76309"/>
    <w:rsid w:val="00A9232C"/>
    <w:rsid w:val="00A93ACB"/>
    <w:rsid w:val="00AA33B9"/>
    <w:rsid w:val="00AA6092"/>
    <w:rsid w:val="00AF33A3"/>
    <w:rsid w:val="00B002D0"/>
    <w:rsid w:val="00B06431"/>
    <w:rsid w:val="00B168BA"/>
    <w:rsid w:val="00B233B8"/>
    <w:rsid w:val="00B2362E"/>
    <w:rsid w:val="00B30ED5"/>
    <w:rsid w:val="00B33591"/>
    <w:rsid w:val="00B34CB9"/>
    <w:rsid w:val="00B433F8"/>
    <w:rsid w:val="00B62455"/>
    <w:rsid w:val="00B733F8"/>
    <w:rsid w:val="00B73F85"/>
    <w:rsid w:val="00B82126"/>
    <w:rsid w:val="00B85046"/>
    <w:rsid w:val="00B8575B"/>
    <w:rsid w:val="00B876BD"/>
    <w:rsid w:val="00BC51E7"/>
    <w:rsid w:val="00BC6372"/>
    <w:rsid w:val="00BD5086"/>
    <w:rsid w:val="00BD5E9F"/>
    <w:rsid w:val="00BE0803"/>
    <w:rsid w:val="00BF2CD0"/>
    <w:rsid w:val="00BF6479"/>
    <w:rsid w:val="00C108AF"/>
    <w:rsid w:val="00C10C64"/>
    <w:rsid w:val="00C11887"/>
    <w:rsid w:val="00C208E7"/>
    <w:rsid w:val="00C217EF"/>
    <w:rsid w:val="00C33EDC"/>
    <w:rsid w:val="00C40544"/>
    <w:rsid w:val="00C42091"/>
    <w:rsid w:val="00C46498"/>
    <w:rsid w:val="00C6614C"/>
    <w:rsid w:val="00C72984"/>
    <w:rsid w:val="00C75B5F"/>
    <w:rsid w:val="00C76540"/>
    <w:rsid w:val="00C85276"/>
    <w:rsid w:val="00C91F73"/>
    <w:rsid w:val="00C9297B"/>
    <w:rsid w:val="00CA1607"/>
    <w:rsid w:val="00CA2D59"/>
    <w:rsid w:val="00CB217C"/>
    <w:rsid w:val="00CB2A77"/>
    <w:rsid w:val="00CC3647"/>
    <w:rsid w:val="00CC6142"/>
    <w:rsid w:val="00CE0474"/>
    <w:rsid w:val="00CE1829"/>
    <w:rsid w:val="00CF0120"/>
    <w:rsid w:val="00D10439"/>
    <w:rsid w:val="00D106ED"/>
    <w:rsid w:val="00D10B74"/>
    <w:rsid w:val="00D3354C"/>
    <w:rsid w:val="00D449E0"/>
    <w:rsid w:val="00D50B23"/>
    <w:rsid w:val="00D55557"/>
    <w:rsid w:val="00D761DC"/>
    <w:rsid w:val="00D83B73"/>
    <w:rsid w:val="00D91A72"/>
    <w:rsid w:val="00DA0C0E"/>
    <w:rsid w:val="00DA1F57"/>
    <w:rsid w:val="00DA47C7"/>
    <w:rsid w:val="00DB3370"/>
    <w:rsid w:val="00DD17E6"/>
    <w:rsid w:val="00DD341E"/>
    <w:rsid w:val="00DD3D5D"/>
    <w:rsid w:val="00DE32B5"/>
    <w:rsid w:val="00DE6FC9"/>
    <w:rsid w:val="00E039CF"/>
    <w:rsid w:val="00E03CCC"/>
    <w:rsid w:val="00E068A7"/>
    <w:rsid w:val="00E17B34"/>
    <w:rsid w:val="00E17BE0"/>
    <w:rsid w:val="00E23E9F"/>
    <w:rsid w:val="00E30CE1"/>
    <w:rsid w:val="00E35192"/>
    <w:rsid w:val="00E36440"/>
    <w:rsid w:val="00E364DD"/>
    <w:rsid w:val="00E36D12"/>
    <w:rsid w:val="00E47BB7"/>
    <w:rsid w:val="00E47DBD"/>
    <w:rsid w:val="00E52CA7"/>
    <w:rsid w:val="00E5497C"/>
    <w:rsid w:val="00E569C7"/>
    <w:rsid w:val="00E57121"/>
    <w:rsid w:val="00E60D56"/>
    <w:rsid w:val="00E65575"/>
    <w:rsid w:val="00E65D90"/>
    <w:rsid w:val="00E665ED"/>
    <w:rsid w:val="00E726E8"/>
    <w:rsid w:val="00E7673D"/>
    <w:rsid w:val="00E7889E"/>
    <w:rsid w:val="00E9649A"/>
    <w:rsid w:val="00EA3B17"/>
    <w:rsid w:val="00EA7C59"/>
    <w:rsid w:val="00EC7903"/>
    <w:rsid w:val="00ED2735"/>
    <w:rsid w:val="00ED56A4"/>
    <w:rsid w:val="00EE3AB9"/>
    <w:rsid w:val="00EE6D3B"/>
    <w:rsid w:val="00EE7BD7"/>
    <w:rsid w:val="00EF0DE2"/>
    <w:rsid w:val="00EF3287"/>
    <w:rsid w:val="00EF7CE0"/>
    <w:rsid w:val="00F01A76"/>
    <w:rsid w:val="00F05E5F"/>
    <w:rsid w:val="00F11E7A"/>
    <w:rsid w:val="00F22403"/>
    <w:rsid w:val="00F235B6"/>
    <w:rsid w:val="00F3109E"/>
    <w:rsid w:val="00F37E96"/>
    <w:rsid w:val="00F38202"/>
    <w:rsid w:val="00F519F0"/>
    <w:rsid w:val="00F5711B"/>
    <w:rsid w:val="00F6695A"/>
    <w:rsid w:val="00F70401"/>
    <w:rsid w:val="00F74551"/>
    <w:rsid w:val="00F81E2F"/>
    <w:rsid w:val="00F84E9E"/>
    <w:rsid w:val="00F8635E"/>
    <w:rsid w:val="00F86BDC"/>
    <w:rsid w:val="00F904C7"/>
    <w:rsid w:val="00FA3EC5"/>
    <w:rsid w:val="00FC2917"/>
    <w:rsid w:val="00FD7EE8"/>
    <w:rsid w:val="00FE17F7"/>
    <w:rsid w:val="00FE37FB"/>
    <w:rsid w:val="00FF145D"/>
    <w:rsid w:val="00FF2C3F"/>
    <w:rsid w:val="00FF40C8"/>
    <w:rsid w:val="00FF77EE"/>
    <w:rsid w:val="013CE58B"/>
    <w:rsid w:val="015D5EA5"/>
    <w:rsid w:val="0242C3F5"/>
    <w:rsid w:val="03B4467A"/>
    <w:rsid w:val="06302113"/>
    <w:rsid w:val="0811505D"/>
    <w:rsid w:val="083F5877"/>
    <w:rsid w:val="08879FB2"/>
    <w:rsid w:val="0893C58F"/>
    <w:rsid w:val="09656B84"/>
    <w:rsid w:val="0994D512"/>
    <w:rsid w:val="0BB76D95"/>
    <w:rsid w:val="0C8E19AA"/>
    <w:rsid w:val="0E7FB375"/>
    <w:rsid w:val="0F458490"/>
    <w:rsid w:val="0FEE41D4"/>
    <w:rsid w:val="1119FC25"/>
    <w:rsid w:val="11388FA0"/>
    <w:rsid w:val="1262A111"/>
    <w:rsid w:val="12AE4D47"/>
    <w:rsid w:val="1371572C"/>
    <w:rsid w:val="139271D3"/>
    <w:rsid w:val="13F5F067"/>
    <w:rsid w:val="1536A467"/>
    <w:rsid w:val="155FFFB1"/>
    <w:rsid w:val="166D05C6"/>
    <w:rsid w:val="16FBB9BE"/>
    <w:rsid w:val="18CCD17E"/>
    <w:rsid w:val="18E0E10F"/>
    <w:rsid w:val="199CF64F"/>
    <w:rsid w:val="1A6601AF"/>
    <w:rsid w:val="1B97403A"/>
    <w:rsid w:val="1BC6451C"/>
    <w:rsid w:val="1E0041D5"/>
    <w:rsid w:val="1F7BA5E9"/>
    <w:rsid w:val="1FEA5D7C"/>
    <w:rsid w:val="1FFCC80E"/>
    <w:rsid w:val="20EE7B35"/>
    <w:rsid w:val="210D9D30"/>
    <w:rsid w:val="236CEFD4"/>
    <w:rsid w:val="24C54569"/>
    <w:rsid w:val="256262B4"/>
    <w:rsid w:val="2713F276"/>
    <w:rsid w:val="2817C2D2"/>
    <w:rsid w:val="282C8662"/>
    <w:rsid w:val="285CB3BC"/>
    <w:rsid w:val="291EC1B3"/>
    <w:rsid w:val="29BD776C"/>
    <w:rsid w:val="29F0D350"/>
    <w:rsid w:val="2ABED800"/>
    <w:rsid w:val="2C5CF511"/>
    <w:rsid w:val="2D12BEBE"/>
    <w:rsid w:val="2DBA1989"/>
    <w:rsid w:val="2E455D08"/>
    <w:rsid w:val="2F5CF386"/>
    <w:rsid w:val="3164702A"/>
    <w:rsid w:val="3197B2D6"/>
    <w:rsid w:val="32D398E2"/>
    <w:rsid w:val="332B5F97"/>
    <w:rsid w:val="33DC70E7"/>
    <w:rsid w:val="3575B451"/>
    <w:rsid w:val="3632D7E1"/>
    <w:rsid w:val="36D439E8"/>
    <w:rsid w:val="36F60689"/>
    <w:rsid w:val="38612DE3"/>
    <w:rsid w:val="3B70FF19"/>
    <w:rsid w:val="3C1DC3A3"/>
    <w:rsid w:val="3CB18117"/>
    <w:rsid w:val="3CFE7DDC"/>
    <w:rsid w:val="3D00E3F4"/>
    <w:rsid w:val="3DAA357D"/>
    <w:rsid w:val="3E8FF849"/>
    <w:rsid w:val="3EF39CF7"/>
    <w:rsid w:val="3F1340D0"/>
    <w:rsid w:val="3FFA2563"/>
    <w:rsid w:val="40470FB4"/>
    <w:rsid w:val="41480C70"/>
    <w:rsid w:val="4190858E"/>
    <w:rsid w:val="41CCF3BC"/>
    <w:rsid w:val="41D71282"/>
    <w:rsid w:val="429891BA"/>
    <w:rsid w:val="42F4EC39"/>
    <w:rsid w:val="440098CB"/>
    <w:rsid w:val="445F2160"/>
    <w:rsid w:val="449A52CD"/>
    <w:rsid w:val="44B8B078"/>
    <w:rsid w:val="4606BF96"/>
    <w:rsid w:val="47486233"/>
    <w:rsid w:val="48BAA24C"/>
    <w:rsid w:val="496EECE1"/>
    <w:rsid w:val="498028BE"/>
    <w:rsid w:val="49BB332E"/>
    <w:rsid w:val="4AF1D687"/>
    <w:rsid w:val="4C505303"/>
    <w:rsid w:val="4C826A68"/>
    <w:rsid w:val="4CDFE3CE"/>
    <w:rsid w:val="4E8FF79E"/>
    <w:rsid w:val="5034E3ED"/>
    <w:rsid w:val="5149BFC1"/>
    <w:rsid w:val="51B9DBDB"/>
    <w:rsid w:val="5351233A"/>
    <w:rsid w:val="54E5BD35"/>
    <w:rsid w:val="550B1772"/>
    <w:rsid w:val="5723F41A"/>
    <w:rsid w:val="5B97A9C4"/>
    <w:rsid w:val="5E109A49"/>
    <w:rsid w:val="5E48F523"/>
    <w:rsid w:val="5EC61ED5"/>
    <w:rsid w:val="5ED3CE97"/>
    <w:rsid w:val="5F180772"/>
    <w:rsid w:val="5F2A02A2"/>
    <w:rsid w:val="5FEB65F0"/>
    <w:rsid w:val="60364906"/>
    <w:rsid w:val="6057081C"/>
    <w:rsid w:val="621C996B"/>
    <w:rsid w:val="63874AFA"/>
    <w:rsid w:val="6438D6F4"/>
    <w:rsid w:val="660277AB"/>
    <w:rsid w:val="688A6030"/>
    <w:rsid w:val="689CCF0C"/>
    <w:rsid w:val="690686B5"/>
    <w:rsid w:val="693719AE"/>
    <w:rsid w:val="6AD7F2E3"/>
    <w:rsid w:val="6B2CB7E9"/>
    <w:rsid w:val="6D61A0C7"/>
    <w:rsid w:val="6DA7CFDB"/>
    <w:rsid w:val="6DFCDE02"/>
    <w:rsid w:val="6E0050E1"/>
    <w:rsid w:val="6E72C391"/>
    <w:rsid w:val="6F857060"/>
    <w:rsid w:val="709AFFB1"/>
    <w:rsid w:val="70C99C1B"/>
    <w:rsid w:val="73E0F6CD"/>
    <w:rsid w:val="73EFBAE3"/>
    <w:rsid w:val="75CD73A7"/>
    <w:rsid w:val="7810C02C"/>
    <w:rsid w:val="782787D4"/>
    <w:rsid w:val="78876B30"/>
    <w:rsid w:val="79F4B7CA"/>
    <w:rsid w:val="7A7E2879"/>
    <w:rsid w:val="7A9B8603"/>
    <w:rsid w:val="7B9379EA"/>
    <w:rsid w:val="7C036157"/>
    <w:rsid w:val="7C1E8A85"/>
    <w:rsid w:val="7C24E98F"/>
    <w:rsid w:val="7CE03C4D"/>
    <w:rsid w:val="7D7DD120"/>
    <w:rsid w:val="7DC44F55"/>
    <w:rsid w:val="7E042D50"/>
    <w:rsid w:val="7E5FB159"/>
    <w:rsid w:val="7E719335"/>
    <w:rsid w:val="7EB5BE44"/>
    <w:rsid w:val="7F486BFE"/>
    <w:rsid w:val="7F600C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93DA7E3D-3558-495F-8DC3-7A7D7769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uiPriority w:val="39"/>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styleId="Textoindependiente3">
    <w:name w:val="Body Text 3"/>
    <w:basedOn w:val="Normal"/>
    <w:link w:val="Textoindependiente3Car"/>
    <w:rsid w:val="00912847"/>
    <w:pPr>
      <w:spacing w:after="0" w:line="240" w:lineRule="auto"/>
      <w:jc w:val="both"/>
    </w:pPr>
    <w:rPr>
      <w:rFonts w:ascii="Arial" w:eastAsia="Times New Roman" w:hAnsi="Arial" w:cs="Times New Roman"/>
      <w:spacing w:val="20"/>
      <w:kern w:val="0"/>
      <w:sz w:val="20"/>
      <w:szCs w:val="20"/>
      <w:lang w:val="es-MX" w:eastAsia="es-ES"/>
      <w14:ligatures w14:val="none"/>
    </w:rPr>
  </w:style>
  <w:style w:type="character" w:customStyle="1" w:styleId="Textoindependiente3Car">
    <w:name w:val="Texto independiente 3 Car"/>
    <w:basedOn w:val="Fuentedeprrafopredeter"/>
    <w:link w:val="Textoindependiente3"/>
    <w:rsid w:val="00912847"/>
    <w:rPr>
      <w:rFonts w:ascii="Arial" w:eastAsia="Times New Roman" w:hAnsi="Arial" w:cs="Times New Roman"/>
      <w:spacing w:val="20"/>
      <w:kern w:val="0"/>
      <w:sz w:val="20"/>
      <w:szCs w:val="20"/>
      <w:lang w:val="es-MX" w:eastAsia="es-ES"/>
      <w14:ligatures w14:val="none"/>
    </w:rPr>
  </w:style>
  <w:style w:type="paragraph" w:styleId="Mapadeldocumento">
    <w:name w:val="Document Map"/>
    <w:basedOn w:val="Normal"/>
    <w:link w:val="MapadeldocumentoCar"/>
    <w:semiHidden/>
    <w:rsid w:val="00912847"/>
    <w:pPr>
      <w:shd w:val="clear" w:color="auto" w:fill="000080"/>
      <w:spacing w:after="0" w:line="240" w:lineRule="auto"/>
    </w:pPr>
    <w:rPr>
      <w:rFonts w:ascii="Tahoma" w:eastAsia="Times New Roman" w:hAnsi="Tahoma" w:cs="Tahoma"/>
      <w:spacing w:val="20"/>
      <w:kern w:val="0"/>
      <w:sz w:val="20"/>
      <w:szCs w:val="20"/>
      <w:lang w:val="es-ES" w:eastAsia="es-ES"/>
      <w14:ligatures w14:val="none"/>
    </w:rPr>
  </w:style>
  <w:style w:type="character" w:customStyle="1" w:styleId="MapadeldocumentoCar">
    <w:name w:val="Mapa del documento Car"/>
    <w:basedOn w:val="Fuentedeprrafopredeter"/>
    <w:link w:val="Mapadeldocumento"/>
    <w:semiHidden/>
    <w:rsid w:val="00912847"/>
    <w:rPr>
      <w:rFonts w:ascii="Tahoma" w:eastAsia="Times New Roman" w:hAnsi="Tahoma" w:cs="Tahoma"/>
      <w:spacing w:val="20"/>
      <w:kern w:val="0"/>
      <w:sz w:val="20"/>
      <w:szCs w:val="20"/>
      <w:shd w:val="clear" w:color="auto" w:fill="000080"/>
      <w:lang w:val="es-ES" w:eastAsia="es-ES"/>
      <w14:ligatures w14:val="none"/>
    </w:rPr>
  </w:style>
  <w:style w:type="paragraph" w:customStyle="1" w:styleId="Normal9pt">
    <w:name w:val="Normal + 9 pt"/>
    <w:aliases w:val="Sin Expandido / Comprimido"/>
    <w:basedOn w:val="Textoindependiente"/>
    <w:rsid w:val="00912847"/>
    <w:pPr>
      <w:numPr>
        <w:numId w:val="3"/>
      </w:numPr>
    </w:pPr>
    <w:rPr>
      <w:rFonts w:cs="Arial"/>
      <w:sz w:val="18"/>
      <w:szCs w:val="18"/>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F0E48-35D5-4BAC-889B-383B8F140AA7}">
  <ds:schemaRefs>
    <ds:schemaRef ds:uri="http://schemas.microsoft.com/office/infopath/2007/PartnerControls"/>
    <ds:schemaRef ds:uri="http://www.w3.org/XML/1998/namespace"/>
    <ds:schemaRef ds:uri="9056d983-1374-4724-9f8d-2ef5b64379db"/>
    <ds:schemaRef ds:uri="http://schemas.openxmlformats.org/package/2006/metadata/core-properties"/>
    <ds:schemaRef ds:uri="http://purl.org/dc/elements/1.1/"/>
    <ds:schemaRef ds:uri="http://schemas.microsoft.com/office/2006/metadata/properties"/>
    <ds:schemaRef ds:uri="http://purl.org/dc/dcmitype/"/>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4163FF3D-2678-454C-8DD2-B02D3EAACA54}">
  <ds:schemaRefs>
    <ds:schemaRef ds:uri="http://schemas.openxmlformats.org/officeDocument/2006/bibliography"/>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787BB2AF-16FE-4E61-B6E9-9C41E0335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5242</Words>
  <Characters>27681</Characters>
  <Application>Microsoft Office Word</Application>
  <DocSecurity>0</DocSecurity>
  <Lines>728</Lines>
  <Paragraphs>498</Paragraphs>
  <ScaleCrop>false</ScaleCrop>
  <Company/>
  <LinksUpToDate>false</LinksUpToDate>
  <CharactersWithSpaces>32425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366</cp:revision>
  <dcterms:created xsi:type="dcterms:W3CDTF">2025-02-09T03:31:00Z</dcterms:created>
  <dcterms:modified xsi:type="dcterms:W3CDTF">2026-04-13T00:42:00Z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1" name="docLang">
    <vt:lpwstr>es</vt:lpwstr>
  </property>
</Properties>
</file>